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theme/themeOverride35.xml" ContentType="application/vnd.openxmlformats-officedocument.themeOverride+xml"/>
  <Override PartName="/word/charts/chart36.xml" ContentType="application/vnd.openxmlformats-officedocument.drawingml.chart+xml"/>
  <Override PartName="/word/theme/themeOverride36.xml" ContentType="application/vnd.openxmlformats-officedocument.themeOverride+xml"/>
  <Override PartName="/word/charts/chart37.xml" ContentType="application/vnd.openxmlformats-officedocument.drawingml.chart+xml"/>
  <Override PartName="/word/theme/themeOverride37.xml" ContentType="application/vnd.openxmlformats-officedocument.themeOverride+xml"/>
  <Override PartName="/word/charts/chart38.xml" ContentType="application/vnd.openxmlformats-officedocument.drawingml.chart+xml"/>
  <Override PartName="/word/theme/themeOverride38.xml" ContentType="application/vnd.openxmlformats-officedocument.themeOverride+xml"/>
  <Override PartName="/word/charts/chart39.xml" ContentType="application/vnd.openxmlformats-officedocument.drawingml.chart+xml"/>
  <Override PartName="/word/theme/themeOverride39.xml" ContentType="application/vnd.openxmlformats-officedocument.themeOverride+xml"/>
  <Override PartName="/word/charts/chart40.xml" ContentType="application/vnd.openxmlformats-officedocument.drawingml.chart+xml"/>
  <Override PartName="/word/theme/themeOverride40.xml" ContentType="application/vnd.openxmlformats-officedocument.themeOverride+xml"/>
  <Override PartName="/word/charts/chart41.xml" ContentType="application/vnd.openxmlformats-officedocument.drawingml.chart+xml"/>
  <Override PartName="/word/theme/themeOverride41.xml" ContentType="application/vnd.openxmlformats-officedocument.themeOverride+xml"/>
  <Override PartName="/word/charts/chart42.xml" ContentType="application/vnd.openxmlformats-officedocument.drawingml.chart+xml"/>
  <Override PartName="/word/theme/themeOverride42.xml" ContentType="application/vnd.openxmlformats-officedocument.themeOverride+xml"/>
  <Override PartName="/word/charts/chart43.xml" ContentType="application/vnd.openxmlformats-officedocument.drawingml.chart+xml"/>
  <Override PartName="/word/theme/themeOverride43.xml" ContentType="application/vnd.openxmlformats-officedocument.themeOverride+xml"/>
  <Override PartName="/word/charts/chart44.xml" ContentType="application/vnd.openxmlformats-officedocument.drawingml.chart+xml"/>
  <Override PartName="/word/theme/themeOverride44.xml" ContentType="application/vnd.openxmlformats-officedocument.themeOverride+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charts/chart45.xml" ContentType="application/vnd.openxmlformats-officedocument.drawingml.chart+xml"/>
  <Override PartName="/word/theme/themeOverride45.xml" ContentType="application/vnd.openxmlformats-officedocument.themeOverride+xml"/>
  <Override PartName="/word/charts/chart46.xml" ContentType="application/vnd.openxmlformats-officedocument.drawingml.chart+xml"/>
  <Override PartName="/word/theme/themeOverride46.xml" ContentType="application/vnd.openxmlformats-officedocument.themeOverride+xml"/>
  <Override PartName="/word/charts/chart47.xml" ContentType="application/vnd.openxmlformats-officedocument.drawingml.chart+xml"/>
  <Override PartName="/word/theme/themeOverride47.xml" ContentType="application/vnd.openxmlformats-officedocument.themeOverride+xml"/>
  <Override PartName="/word/charts/chart48.xml" ContentType="application/vnd.openxmlformats-officedocument.drawingml.chart+xml"/>
  <Override PartName="/word/theme/themeOverride48.xml" ContentType="application/vnd.openxmlformats-officedocument.themeOverride+xml"/>
  <Override PartName="/word/charts/chart49.xml" ContentType="application/vnd.openxmlformats-officedocument.drawingml.chart+xml"/>
  <Override PartName="/word/theme/themeOverride49.xml" ContentType="application/vnd.openxmlformats-officedocument.themeOverride+xml"/>
  <Override PartName="/word/charts/chart50.xml" ContentType="application/vnd.openxmlformats-officedocument.drawingml.chart+xml"/>
  <Override PartName="/word/theme/themeOverride50.xml" ContentType="application/vnd.openxmlformats-officedocument.themeOverride+xml"/>
  <Override PartName="/word/charts/chart51.xml" ContentType="application/vnd.openxmlformats-officedocument.drawingml.chart+xml"/>
  <Override PartName="/word/theme/themeOverride51.xml" ContentType="application/vnd.openxmlformats-officedocument.themeOverride+xml"/>
  <Override PartName="/word/charts/chart52.xml" ContentType="application/vnd.openxmlformats-officedocument.drawingml.chart+xml"/>
  <Override PartName="/word/theme/themeOverride52.xml" ContentType="application/vnd.openxmlformats-officedocument.themeOverride+xml"/>
  <Override PartName="/word/charts/chart53.xml" ContentType="application/vnd.openxmlformats-officedocument.drawingml.chart+xml"/>
  <Override PartName="/word/theme/themeOverride53.xml" ContentType="application/vnd.openxmlformats-officedocument.themeOverride+xml"/>
  <Override PartName="/word/charts/chart54.xml" ContentType="application/vnd.openxmlformats-officedocument.drawingml.chart+xml"/>
  <Override PartName="/word/theme/themeOverride54.xml" ContentType="application/vnd.openxmlformats-officedocument.themeOverride+xml"/>
  <Override PartName="/word/charts/chart55.xml" ContentType="application/vnd.openxmlformats-officedocument.drawingml.chart+xml"/>
  <Override PartName="/word/theme/themeOverride55.xml" ContentType="application/vnd.openxmlformats-officedocument.themeOverride+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charts/chart56.xml" ContentType="application/vnd.openxmlformats-officedocument.drawingml.chart+xml"/>
  <Override PartName="/word/theme/themeOverride56.xml" ContentType="application/vnd.openxmlformats-officedocument.themeOverride+xml"/>
  <Override PartName="/word/charts/chart57.xml" ContentType="application/vnd.openxmlformats-officedocument.drawingml.chart+xml"/>
  <Override PartName="/word/theme/themeOverride57.xml" ContentType="application/vnd.openxmlformats-officedocument.themeOverride+xml"/>
  <Override PartName="/word/charts/chart58.xml" ContentType="application/vnd.openxmlformats-officedocument.drawingml.chart+xml"/>
  <Override PartName="/word/theme/themeOverride58.xml" ContentType="application/vnd.openxmlformats-officedocument.themeOverride+xml"/>
  <Override PartName="/word/charts/chart59.xml" ContentType="application/vnd.openxmlformats-officedocument.drawingml.chart+xml"/>
  <Override PartName="/word/theme/themeOverride59.xml" ContentType="application/vnd.openxmlformats-officedocument.themeOverride+xml"/>
  <Override PartName="/word/charts/chart60.xml" ContentType="application/vnd.openxmlformats-officedocument.drawingml.chart+xml"/>
  <Override PartName="/word/theme/themeOverride60.xml" ContentType="application/vnd.openxmlformats-officedocument.themeOverride+xml"/>
  <Override PartName="/word/charts/chart61.xml" ContentType="application/vnd.openxmlformats-officedocument.drawingml.chart+xml"/>
  <Override PartName="/word/theme/themeOverride61.xml" ContentType="application/vnd.openxmlformats-officedocument.themeOverride+xml"/>
  <Override PartName="/word/charts/chart62.xml" ContentType="application/vnd.openxmlformats-officedocument.drawingml.chart+xml"/>
  <Override PartName="/word/theme/themeOverride62.xml" ContentType="application/vnd.openxmlformats-officedocument.themeOverride+xml"/>
  <Override PartName="/word/charts/chart63.xml" ContentType="application/vnd.openxmlformats-officedocument.drawingml.chart+xml"/>
  <Override PartName="/word/theme/themeOverride63.xml" ContentType="application/vnd.openxmlformats-officedocument.themeOverride+xml"/>
  <Override PartName="/word/charts/chart64.xml" ContentType="application/vnd.openxmlformats-officedocument.drawingml.chart+xml"/>
  <Override PartName="/word/theme/themeOverride64.xml" ContentType="application/vnd.openxmlformats-officedocument.themeOverride+xml"/>
  <Override PartName="/word/charts/chart65.xml" ContentType="application/vnd.openxmlformats-officedocument.drawingml.chart+xml"/>
  <Override PartName="/word/theme/themeOverride65.xml" ContentType="application/vnd.openxmlformats-officedocument.themeOverride+xml"/>
  <Override PartName="/word/charts/chart66.xml" ContentType="application/vnd.openxmlformats-officedocument.drawingml.chart+xml"/>
  <Override PartName="/word/theme/themeOverride66.xml" ContentType="application/vnd.openxmlformats-officedocument.themeOverride+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charts/chart67.xml" ContentType="application/vnd.openxmlformats-officedocument.drawingml.chart+xml"/>
  <Override PartName="/word/theme/themeOverride67.xml" ContentType="application/vnd.openxmlformats-officedocument.themeOverride+xml"/>
  <Override PartName="/word/charts/chart68.xml" ContentType="application/vnd.openxmlformats-officedocument.drawingml.chart+xml"/>
  <Override PartName="/word/theme/themeOverride68.xml" ContentType="application/vnd.openxmlformats-officedocument.themeOverride+xml"/>
  <Override PartName="/word/charts/chart69.xml" ContentType="application/vnd.openxmlformats-officedocument.drawingml.chart+xml"/>
  <Override PartName="/word/theme/themeOverride69.xml" ContentType="application/vnd.openxmlformats-officedocument.themeOverride+xml"/>
  <Override PartName="/word/charts/chart70.xml" ContentType="application/vnd.openxmlformats-officedocument.drawingml.chart+xml"/>
  <Override PartName="/word/theme/themeOverride70.xml" ContentType="application/vnd.openxmlformats-officedocument.themeOverride+xml"/>
  <Override PartName="/word/charts/chart71.xml" ContentType="application/vnd.openxmlformats-officedocument.drawingml.chart+xml"/>
  <Override PartName="/word/theme/themeOverride71.xml" ContentType="application/vnd.openxmlformats-officedocument.themeOverride+xml"/>
  <Override PartName="/word/charts/chart72.xml" ContentType="application/vnd.openxmlformats-officedocument.drawingml.chart+xml"/>
  <Override PartName="/word/theme/themeOverride72.xml" ContentType="application/vnd.openxmlformats-officedocument.themeOverride+xml"/>
  <Override PartName="/word/charts/chart73.xml" ContentType="application/vnd.openxmlformats-officedocument.drawingml.chart+xml"/>
  <Override PartName="/word/theme/themeOverride73.xml" ContentType="application/vnd.openxmlformats-officedocument.themeOverride+xml"/>
  <Override PartName="/word/charts/chart74.xml" ContentType="application/vnd.openxmlformats-officedocument.drawingml.chart+xml"/>
  <Override PartName="/word/theme/themeOverride74.xml" ContentType="application/vnd.openxmlformats-officedocument.themeOverride+xml"/>
  <Override PartName="/word/charts/chart75.xml" ContentType="application/vnd.openxmlformats-officedocument.drawingml.chart+xml"/>
  <Override PartName="/word/theme/themeOverride75.xml" ContentType="application/vnd.openxmlformats-officedocument.themeOverride+xml"/>
  <Override PartName="/word/charts/chart76.xml" ContentType="application/vnd.openxmlformats-officedocument.drawingml.chart+xml"/>
  <Override PartName="/word/theme/themeOverride76.xml" ContentType="application/vnd.openxmlformats-officedocument.themeOverride+xml"/>
  <Override PartName="/word/charts/chart77.xml" ContentType="application/vnd.openxmlformats-officedocument.drawingml.chart+xml"/>
  <Override PartName="/word/theme/themeOverride77.xml" ContentType="application/vnd.openxmlformats-officedocument.themeOverride+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charts/chart78.xml" ContentType="application/vnd.openxmlformats-officedocument.drawingml.chart+xml"/>
  <Override PartName="/word/theme/themeOverride78.xml" ContentType="application/vnd.openxmlformats-officedocument.themeOverride+xml"/>
  <Override PartName="/word/charts/chart79.xml" ContentType="application/vnd.openxmlformats-officedocument.drawingml.chart+xml"/>
  <Override PartName="/word/theme/themeOverride79.xml" ContentType="application/vnd.openxmlformats-officedocument.themeOverride+xml"/>
  <Override PartName="/word/charts/chart80.xml" ContentType="application/vnd.openxmlformats-officedocument.drawingml.chart+xml"/>
  <Override PartName="/word/theme/themeOverride80.xml" ContentType="application/vnd.openxmlformats-officedocument.themeOverride+xml"/>
  <Override PartName="/word/charts/chart81.xml" ContentType="application/vnd.openxmlformats-officedocument.drawingml.chart+xml"/>
  <Override PartName="/word/theme/themeOverride81.xml" ContentType="application/vnd.openxmlformats-officedocument.themeOverride+xml"/>
  <Override PartName="/word/charts/chart82.xml" ContentType="application/vnd.openxmlformats-officedocument.drawingml.chart+xml"/>
  <Override PartName="/word/theme/themeOverride82.xml" ContentType="application/vnd.openxmlformats-officedocument.themeOverride+xml"/>
  <Override PartName="/word/charts/chart83.xml" ContentType="application/vnd.openxmlformats-officedocument.drawingml.chart+xml"/>
  <Override PartName="/word/theme/themeOverride83.xml" ContentType="application/vnd.openxmlformats-officedocument.themeOverride+xml"/>
  <Override PartName="/word/charts/chart84.xml" ContentType="application/vnd.openxmlformats-officedocument.drawingml.chart+xml"/>
  <Override PartName="/word/theme/themeOverride84.xml" ContentType="application/vnd.openxmlformats-officedocument.themeOverride+xml"/>
  <Override PartName="/word/charts/chart85.xml" ContentType="application/vnd.openxmlformats-officedocument.drawingml.chart+xml"/>
  <Override PartName="/word/theme/themeOverride85.xml" ContentType="application/vnd.openxmlformats-officedocument.themeOverride+xml"/>
  <Override PartName="/word/charts/chart86.xml" ContentType="application/vnd.openxmlformats-officedocument.drawingml.chart+xml"/>
  <Override PartName="/word/theme/themeOverride86.xml" ContentType="application/vnd.openxmlformats-officedocument.themeOverride+xml"/>
  <Override PartName="/word/charts/chart87.xml" ContentType="application/vnd.openxmlformats-officedocument.drawingml.chart+xml"/>
  <Override PartName="/word/theme/themeOverride87.xml" ContentType="application/vnd.openxmlformats-officedocument.themeOverride+xml"/>
  <Override PartName="/word/charts/chart88.xml" ContentType="application/vnd.openxmlformats-officedocument.drawingml.chart+xml"/>
  <Override PartName="/word/theme/themeOverride88.xml" ContentType="application/vnd.openxmlformats-officedocument.themeOverride+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charts/chart89.xml" ContentType="application/vnd.openxmlformats-officedocument.drawingml.chart+xml"/>
  <Override PartName="/word/theme/themeOverride89.xml" ContentType="application/vnd.openxmlformats-officedocument.themeOverride+xml"/>
  <Override PartName="/word/charts/chart90.xml" ContentType="application/vnd.openxmlformats-officedocument.drawingml.chart+xml"/>
  <Override PartName="/word/theme/themeOverride90.xml" ContentType="application/vnd.openxmlformats-officedocument.themeOverride+xml"/>
  <Override PartName="/word/charts/chart91.xml" ContentType="application/vnd.openxmlformats-officedocument.drawingml.chart+xml"/>
  <Override PartName="/word/theme/themeOverride91.xml" ContentType="application/vnd.openxmlformats-officedocument.themeOverride+xml"/>
  <Override PartName="/word/charts/chart92.xml" ContentType="application/vnd.openxmlformats-officedocument.drawingml.chart+xml"/>
  <Override PartName="/word/theme/themeOverride92.xml" ContentType="application/vnd.openxmlformats-officedocument.themeOverride+xml"/>
  <Override PartName="/word/charts/chart93.xml" ContentType="application/vnd.openxmlformats-officedocument.drawingml.chart+xml"/>
  <Override PartName="/word/theme/themeOverride93.xml" ContentType="application/vnd.openxmlformats-officedocument.themeOverride+xml"/>
  <Override PartName="/word/charts/chart94.xml" ContentType="application/vnd.openxmlformats-officedocument.drawingml.chart+xml"/>
  <Override PartName="/word/theme/themeOverride94.xml" ContentType="application/vnd.openxmlformats-officedocument.themeOverride+xml"/>
  <Override PartName="/word/charts/chart95.xml" ContentType="application/vnd.openxmlformats-officedocument.drawingml.chart+xml"/>
  <Override PartName="/word/theme/themeOverride95.xml" ContentType="application/vnd.openxmlformats-officedocument.themeOverride+xml"/>
  <Override PartName="/word/charts/chart96.xml" ContentType="application/vnd.openxmlformats-officedocument.drawingml.chart+xml"/>
  <Override PartName="/word/theme/themeOverride96.xml" ContentType="application/vnd.openxmlformats-officedocument.themeOverride+xml"/>
  <Override PartName="/word/charts/chart97.xml" ContentType="application/vnd.openxmlformats-officedocument.drawingml.chart+xml"/>
  <Override PartName="/word/theme/themeOverride97.xml" ContentType="application/vnd.openxmlformats-officedocument.themeOverride+xml"/>
  <Override PartName="/word/charts/chart98.xml" ContentType="application/vnd.openxmlformats-officedocument.drawingml.chart+xml"/>
  <Override PartName="/word/theme/themeOverride98.xml" ContentType="application/vnd.openxmlformats-officedocument.themeOverride+xml"/>
  <Override PartName="/word/charts/chart99.xml" ContentType="application/vnd.openxmlformats-officedocument.drawingml.chart+xml"/>
  <Override PartName="/word/theme/themeOverride99.xml" ContentType="application/vnd.openxmlformats-officedocument.themeOverride+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charts/chart100.xml" ContentType="application/vnd.openxmlformats-officedocument.drawingml.chart+xml"/>
  <Override PartName="/word/theme/themeOverride100.xml" ContentType="application/vnd.openxmlformats-officedocument.themeOverride+xml"/>
  <Override PartName="/word/charts/chart101.xml" ContentType="application/vnd.openxmlformats-officedocument.drawingml.chart+xml"/>
  <Override PartName="/word/theme/themeOverride101.xml" ContentType="application/vnd.openxmlformats-officedocument.themeOverride+xml"/>
  <Override PartName="/word/charts/chart102.xml" ContentType="application/vnd.openxmlformats-officedocument.drawingml.chart+xml"/>
  <Override PartName="/word/theme/themeOverride102.xml" ContentType="application/vnd.openxmlformats-officedocument.themeOverride+xml"/>
  <Override PartName="/word/charts/chart103.xml" ContentType="application/vnd.openxmlformats-officedocument.drawingml.chart+xml"/>
  <Override PartName="/word/theme/themeOverride103.xml" ContentType="application/vnd.openxmlformats-officedocument.themeOverride+xml"/>
  <Override PartName="/word/charts/chart104.xml" ContentType="application/vnd.openxmlformats-officedocument.drawingml.chart+xml"/>
  <Override PartName="/word/theme/themeOverride104.xml" ContentType="application/vnd.openxmlformats-officedocument.themeOverride+xml"/>
  <Override PartName="/word/charts/chart105.xml" ContentType="application/vnd.openxmlformats-officedocument.drawingml.chart+xml"/>
  <Override PartName="/word/theme/themeOverride105.xml" ContentType="application/vnd.openxmlformats-officedocument.themeOverride+xml"/>
  <Override PartName="/word/charts/chart106.xml" ContentType="application/vnd.openxmlformats-officedocument.drawingml.chart+xml"/>
  <Override PartName="/word/theme/themeOverride106.xml" ContentType="application/vnd.openxmlformats-officedocument.themeOverride+xml"/>
  <Override PartName="/word/charts/chart107.xml" ContentType="application/vnd.openxmlformats-officedocument.drawingml.chart+xml"/>
  <Override PartName="/word/theme/themeOverride107.xml" ContentType="application/vnd.openxmlformats-officedocument.themeOverride+xml"/>
  <Override PartName="/word/charts/chart108.xml" ContentType="application/vnd.openxmlformats-officedocument.drawingml.chart+xml"/>
  <Override PartName="/word/theme/themeOverride108.xml" ContentType="application/vnd.openxmlformats-officedocument.themeOverride+xml"/>
  <Override PartName="/word/charts/chart109.xml" ContentType="application/vnd.openxmlformats-officedocument.drawingml.chart+xml"/>
  <Override PartName="/word/theme/themeOverride109.xml" ContentType="application/vnd.openxmlformats-officedocument.themeOverride+xml"/>
  <Override PartName="/word/charts/chart110.xml" ContentType="application/vnd.openxmlformats-officedocument.drawingml.chart+xml"/>
  <Override PartName="/word/theme/themeOverride110.xml" ContentType="application/vnd.openxmlformats-officedocument.themeOverride+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charts/chart111.xml" ContentType="application/vnd.openxmlformats-officedocument.drawingml.chart+xml"/>
  <Override PartName="/word/theme/themeOverride111.xml" ContentType="application/vnd.openxmlformats-officedocument.themeOverride+xml"/>
  <Override PartName="/word/charts/chart112.xml" ContentType="application/vnd.openxmlformats-officedocument.drawingml.chart+xml"/>
  <Override PartName="/word/theme/themeOverride112.xml" ContentType="application/vnd.openxmlformats-officedocument.themeOverride+xml"/>
  <Override PartName="/word/charts/chart113.xml" ContentType="application/vnd.openxmlformats-officedocument.drawingml.chart+xml"/>
  <Override PartName="/word/theme/themeOverride113.xml" ContentType="application/vnd.openxmlformats-officedocument.themeOverride+xml"/>
  <Override PartName="/word/charts/chart114.xml" ContentType="application/vnd.openxmlformats-officedocument.drawingml.chart+xml"/>
  <Override PartName="/word/theme/themeOverride114.xml" ContentType="application/vnd.openxmlformats-officedocument.themeOverride+xml"/>
  <Override PartName="/word/charts/chart115.xml" ContentType="application/vnd.openxmlformats-officedocument.drawingml.chart+xml"/>
  <Override PartName="/word/theme/themeOverride115.xml" ContentType="application/vnd.openxmlformats-officedocument.themeOverride+xml"/>
  <Override PartName="/word/charts/chart116.xml" ContentType="application/vnd.openxmlformats-officedocument.drawingml.chart+xml"/>
  <Override PartName="/word/theme/themeOverride116.xml" ContentType="application/vnd.openxmlformats-officedocument.themeOverride+xml"/>
  <Override PartName="/word/charts/chart117.xml" ContentType="application/vnd.openxmlformats-officedocument.drawingml.chart+xml"/>
  <Override PartName="/word/theme/themeOverride117.xml" ContentType="application/vnd.openxmlformats-officedocument.themeOverride+xml"/>
  <Override PartName="/word/charts/chart118.xml" ContentType="application/vnd.openxmlformats-officedocument.drawingml.chart+xml"/>
  <Override PartName="/word/theme/themeOverride118.xml" ContentType="application/vnd.openxmlformats-officedocument.themeOverride+xml"/>
  <Override PartName="/word/charts/chart119.xml" ContentType="application/vnd.openxmlformats-officedocument.drawingml.chart+xml"/>
  <Override PartName="/word/theme/themeOverride119.xml" ContentType="application/vnd.openxmlformats-officedocument.themeOverride+xml"/>
  <Override PartName="/word/charts/chart120.xml" ContentType="application/vnd.openxmlformats-officedocument.drawingml.chart+xml"/>
  <Override PartName="/word/theme/themeOverride120.xml" ContentType="application/vnd.openxmlformats-officedocument.themeOverride+xml"/>
  <Override PartName="/word/charts/chart121.xml" ContentType="application/vnd.openxmlformats-officedocument.drawingml.chart+xml"/>
  <Override PartName="/word/theme/themeOverride121.xml" ContentType="application/vnd.openxmlformats-officedocument.themeOverride+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charts/chart122.xml" ContentType="application/vnd.openxmlformats-officedocument.drawingml.chart+xml"/>
  <Override PartName="/word/theme/themeOverride122.xml" ContentType="application/vnd.openxmlformats-officedocument.themeOverride+xml"/>
  <Override PartName="/word/charts/chart123.xml" ContentType="application/vnd.openxmlformats-officedocument.drawingml.chart+xml"/>
  <Override PartName="/word/theme/themeOverride123.xml" ContentType="application/vnd.openxmlformats-officedocument.themeOverride+xml"/>
  <Override PartName="/word/charts/chart124.xml" ContentType="application/vnd.openxmlformats-officedocument.drawingml.chart+xml"/>
  <Override PartName="/word/theme/themeOverride124.xml" ContentType="application/vnd.openxmlformats-officedocument.themeOverride+xml"/>
  <Override PartName="/word/charts/chart125.xml" ContentType="application/vnd.openxmlformats-officedocument.drawingml.chart+xml"/>
  <Override PartName="/word/theme/themeOverride125.xml" ContentType="application/vnd.openxmlformats-officedocument.themeOverride+xml"/>
  <Override PartName="/word/charts/chart126.xml" ContentType="application/vnd.openxmlformats-officedocument.drawingml.chart+xml"/>
  <Override PartName="/word/theme/themeOverride126.xml" ContentType="application/vnd.openxmlformats-officedocument.themeOverride+xml"/>
  <Override PartName="/word/charts/chart127.xml" ContentType="application/vnd.openxmlformats-officedocument.drawingml.chart+xml"/>
  <Override PartName="/word/theme/themeOverride127.xml" ContentType="application/vnd.openxmlformats-officedocument.themeOverride+xml"/>
  <Override PartName="/word/charts/chart128.xml" ContentType="application/vnd.openxmlformats-officedocument.drawingml.chart+xml"/>
  <Override PartName="/word/theme/themeOverride128.xml" ContentType="application/vnd.openxmlformats-officedocument.themeOverride+xml"/>
  <Override PartName="/word/charts/chart129.xml" ContentType="application/vnd.openxmlformats-officedocument.drawingml.chart+xml"/>
  <Override PartName="/word/theme/themeOverride129.xml" ContentType="application/vnd.openxmlformats-officedocument.themeOverride+xml"/>
  <Override PartName="/word/charts/chart130.xml" ContentType="application/vnd.openxmlformats-officedocument.drawingml.chart+xml"/>
  <Override PartName="/word/theme/themeOverride130.xml" ContentType="application/vnd.openxmlformats-officedocument.themeOverride+xml"/>
  <Override PartName="/word/charts/chart131.xml" ContentType="application/vnd.openxmlformats-officedocument.drawingml.chart+xml"/>
  <Override PartName="/word/theme/themeOverride131.xml" ContentType="application/vnd.openxmlformats-officedocument.themeOverride+xml"/>
  <Override PartName="/word/charts/chart132.xml" ContentType="application/vnd.openxmlformats-officedocument.drawingml.chart+xml"/>
  <Override PartName="/word/theme/themeOverride132.xml" ContentType="application/vnd.openxmlformats-officedocument.themeOverride+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charts/chart133.xml" ContentType="application/vnd.openxmlformats-officedocument.drawingml.chart+xml"/>
  <Override PartName="/word/theme/themeOverride133.xml" ContentType="application/vnd.openxmlformats-officedocument.themeOverride+xml"/>
  <Override PartName="/word/charts/chart134.xml" ContentType="application/vnd.openxmlformats-officedocument.drawingml.chart+xml"/>
  <Override PartName="/word/theme/themeOverride134.xml" ContentType="application/vnd.openxmlformats-officedocument.themeOverride+xml"/>
  <Override PartName="/word/charts/chart135.xml" ContentType="application/vnd.openxmlformats-officedocument.drawingml.chart+xml"/>
  <Override PartName="/word/theme/themeOverride135.xml" ContentType="application/vnd.openxmlformats-officedocument.themeOverride+xml"/>
  <Override PartName="/word/charts/chart136.xml" ContentType="application/vnd.openxmlformats-officedocument.drawingml.chart+xml"/>
  <Override PartName="/word/theme/themeOverride136.xml" ContentType="application/vnd.openxmlformats-officedocument.themeOverride+xml"/>
  <Override PartName="/word/charts/chart137.xml" ContentType="application/vnd.openxmlformats-officedocument.drawingml.chart+xml"/>
  <Override PartName="/word/theme/themeOverride137.xml" ContentType="application/vnd.openxmlformats-officedocument.themeOverride+xml"/>
  <Override PartName="/word/charts/chart138.xml" ContentType="application/vnd.openxmlformats-officedocument.drawingml.chart+xml"/>
  <Override PartName="/word/theme/themeOverride138.xml" ContentType="application/vnd.openxmlformats-officedocument.themeOverride+xml"/>
  <Override PartName="/word/charts/chart139.xml" ContentType="application/vnd.openxmlformats-officedocument.drawingml.chart+xml"/>
  <Override PartName="/word/theme/themeOverride139.xml" ContentType="application/vnd.openxmlformats-officedocument.themeOverride+xml"/>
  <Override PartName="/word/charts/chart140.xml" ContentType="application/vnd.openxmlformats-officedocument.drawingml.chart+xml"/>
  <Override PartName="/word/theme/themeOverride140.xml" ContentType="application/vnd.openxmlformats-officedocument.themeOverride+xml"/>
  <Override PartName="/word/charts/chart141.xml" ContentType="application/vnd.openxmlformats-officedocument.drawingml.chart+xml"/>
  <Override PartName="/word/theme/themeOverride141.xml" ContentType="application/vnd.openxmlformats-officedocument.themeOverride+xml"/>
  <Override PartName="/word/charts/chart142.xml" ContentType="application/vnd.openxmlformats-officedocument.drawingml.chart+xml"/>
  <Override PartName="/word/theme/themeOverride142.xml" ContentType="application/vnd.openxmlformats-officedocument.themeOverride+xml"/>
  <Override PartName="/word/charts/chart143.xml" ContentType="application/vnd.openxmlformats-officedocument.drawingml.chart+xml"/>
  <Override PartName="/word/theme/themeOverride143.xml" ContentType="application/vnd.openxmlformats-officedocument.themeOverride+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6342" w:rsidRDefault="00040788" w:rsidP="00040788">
      <w:pPr>
        <w:pStyle w:val="Pagedecouverture"/>
        <w:rPr>
          <w:noProof/>
        </w:rPr>
      </w:pPr>
      <w:bookmarkStart w:id="0" w:name="_Toc475974655"/>
      <w:bookmarkStart w:id="1" w:name="_Toc475980151"/>
      <w:bookmarkStart w:id="2" w:name="_Toc475981400"/>
      <w:bookmarkStart w:id="3" w:name="_Toc484622332"/>
      <w:bookmarkStart w:id="4" w:name="_Toc510015281"/>
      <w:bookmarkStart w:id="5"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DF409973-AD79-4E80-A4F1-66FC601FB34B" style="width:450.75pt;height:429pt">
            <v:imagedata r:id="rId12" o:title=""/>
          </v:shape>
        </w:pict>
      </w:r>
    </w:p>
    <w:bookmarkEnd w:id="5"/>
    <w:p w:rsidR="00E26342" w:rsidRDefault="00E26342">
      <w:pPr>
        <w:rPr>
          <w:noProof/>
        </w:rPr>
        <w:sectPr w:rsidR="00E26342" w:rsidSect="00040788">
          <w:headerReference w:type="even" r:id="rId13"/>
          <w:headerReference w:type="default" r:id="rId14"/>
          <w:footerReference w:type="even" r:id="rId15"/>
          <w:footerReference w:type="default" r:id="rId16"/>
          <w:headerReference w:type="first" r:id="rId17"/>
          <w:footerReference w:type="first" r:id="rId18"/>
          <w:footnotePr>
            <w:numRestart w:val="eachSect"/>
          </w:footnotePr>
          <w:pgSz w:w="11906" w:h="16838"/>
          <w:pgMar w:top="1134" w:right="1417" w:bottom="1134" w:left="1417" w:header="709" w:footer="709" w:gutter="0"/>
          <w:pgNumType w:start="106"/>
          <w:cols w:space="720"/>
          <w:docGrid w:linePitch="360"/>
        </w:sectPr>
      </w:pPr>
    </w:p>
    <w:p w:rsidR="00E26342" w:rsidRDefault="00040788">
      <w:pPr>
        <w:pStyle w:val="Heading1"/>
        <w:rPr>
          <w:noProof/>
        </w:rPr>
      </w:pPr>
      <w:bookmarkStart w:id="6" w:name="_GoBack"/>
      <w:bookmarkEnd w:id="6"/>
      <w:r>
        <w:rPr>
          <w:noProof/>
        </w:rPr>
        <w:lastRenderedPageBreak/>
        <w:t>Luxembourg</w:t>
      </w:r>
      <w:bookmarkEnd w:id="0"/>
      <w:bookmarkEnd w:id="1"/>
      <w:bookmarkEnd w:id="2"/>
      <w:bookmarkEnd w:id="3"/>
      <w:bookmarkEnd w:id="4"/>
    </w:p>
    <w:p w:rsidR="00E26342" w:rsidRDefault="00040788">
      <w:pPr>
        <w:pStyle w:val="kop2"/>
        <w:numPr>
          <w:ilvl w:val="0"/>
          <w:numId w:val="51"/>
        </w:numPr>
        <w:spacing w:before="360" w:after="240"/>
        <w:ind w:left="709" w:hanging="425"/>
        <w:rPr>
          <w:noProof/>
        </w:rPr>
      </w:pPr>
      <w:r>
        <w:rPr>
          <w:noProof/>
        </w:rPr>
        <w:t>COMPLAINTS</w:t>
      </w:r>
    </w:p>
    <w:p w:rsidR="00E26342" w:rsidRDefault="00040788">
      <w:pPr>
        <w:pStyle w:val="Subtitle"/>
        <w:rPr>
          <w:noProof/>
        </w:rPr>
      </w:pPr>
      <w:r>
        <w:rPr>
          <w:noProof/>
        </w:rPr>
        <w:t>New complaints made against Luxembourg by members of the public (2013- 2017)</w:t>
      </w:r>
    </w:p>
    <w:p w:rsidR="00E26342" w:rsidRDefault="00040788">
      <w:pPr>
        <w:ind w:firstLine="709"/>
        <w:rPr>
          <w:rFonts w:ascii="Arial" w:hAnsi="Arial" w:cs="Arial"/>
          <w:noProof/>
          <w:sz w:val="20"/>
        </w:rPr>
      </w:pPr>
      <w:r>
        <w:rPr>
          <w:rFonts w:ascii="Arial" w:hAnsi="Arial" w:cs="Arial"/>
          <w:noProof/>
          <w:sz w:val="20"/>
          <w:lang w:eastAsia="en-GB"/>
        </w:rPr>
        <w:drawing>
          <wp:inline distT="0" distB="0" distL="0" distR="0" wp14:anchorId="40E6ECF3" wp14:editId="761CF6D3">
            <wp:extent cx="4612005" cy="2210435"/>
            <wp:effectExtent l="0" t="0" r="17145" b="18415"/>
            <wp:docPr id="167"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26342" w:rsidRDefault="00040788">
      <w:pPr>
        <w:pStyle w:val="Subtitle"/>
        <w:rPr>
          <w:noProof/>
        </w:rPr>
      </w:pPr>
      <w:r>
        <w:rPr>
          <w:noProof/>
        </w:rPr>
        <w:t xml:space="preserve">Public complaints against Luxembourg open at </w:t>
      </w:r>
      <w:r>
        <w:rPr>
          <w:noProof/>
        </w:rPr>
        <w:t>year-end</w:t>
      </w:r>
    </w:p>
    <w:tbl>
      <w:tblPr>
        <w:tblW w:w="0" w:type="auto"/>
        <w:jc w:val="center"/>
        <w:tblLook w:val="04A0" w:firstRow="1" w:lastRow="0" w:firstColumn="1" w:lastColumn="0" w:noHBand="0" w:noVBand="1"/>
      </w:tblPr>
      <w:tblGrid>
        <w:gridCol w:w="1697"/>
        <w:gridCol w:w="452"/>
        <w:gridCol w:w="5310"/>
      </w:tblGrid>
      <w:tr w:rsidR="00E26342">
        <w:trPr>
          <w:trHeight w:val="403"/>
          <w:jc w:val="center"/>
        </w:trPr>
        <w:tc>
          <w:tcPr>
            <w:tcW w:w="1697" w:type="dxa"/>
            <w:shd w:val="clear" w:color="auto" w:fill="auto"/>
            <w:vAlign w:val="center"/>
          </w:tcPr>
          <w:p w:rsidR="00E26342" w:rsidRDefault="00040788">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37</w:t>
            </w:r>
          </w:p>
        </w:tc>
        <w:tc>
          <w:tcPr>
            <w:tcW w:w="452" w:type="dxa"/>
            <w:shd w:val="clear" w:color="auto" w:fill="auto"/>
            <w:vAlign w:val="center"/>
          </w:tcPr>
          <w:p w:rsidR="00E26342" w:rsidRDefault="00040788">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E26342" w:rsidRDefault="00040788">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Complaints open at end-2016</w:t>
            </w:r>
          </w:p>
        </w:tc>
      </w:tr>
      <w:tr w:rsidR="00E26342">
        <w:trPr>
          <w:trHeight w:val="403"/>
          <w:jc w:val="center"/>
        </w:trPr>
        <w:tc>
          <w:tcPr>
            <w:tcW w:w="1697" w:type="dxa"/>
            <w:shd w:val="clear" w:color="auto" w:fill="auto"/>
            <w:vAlign w:val="center"/>
          </w:tcPr>
          <w:p w:rsidR="00E26342" w:rsidRDefault="00040788">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31</w:t>
            </w:r>
          </w:p>
        </w:tc>
        <w:tc>
          <w:tcPr>
            <w:tcW w:w="452" w:type="dxa"/>
            <w:shd w:val="clear" w:color="auto" w:fill="auto"/>
            <w:vAlign w:val="center"/>
          </w:tcPr>
          <w:p w:rsidR="00E26342" w:rsidRDefault="00040788">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E26342" w:rsidRDefault="00040788">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New complaints registered in 2017</w:t>
            </w:r>
          </w:p>
        </w:tc>
      </w:tr>
      <w:tr w:rsidR="00E26342">
        <w:trPr>
          <w:trHeight w:val="403"/>
          <w:jc w:val="center"/>
        </w:trPr>
        <w:tc>
          <w:tcPr>
            <w:tcW w:w="1697" w:type="dxa"/>
            <w:tcBorders>
              <w:bottom w:val="single" w:sz="24" w:space="0" w:color="548DD4"/>
            </w:tcBorders>
            <w:shd w:val="clear" w:color="auto" w:fill="auto"/>
            <w:vAlign w:val="center"/>
          </w:tcPr>
          <w:p w:rsidR="00E26342" w:rsidRDefault="00040788">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20</w:t>
            </w:r>
          </w:p>
        </w:tc>
        <w:tc>
          <w:tcPr>
            <w:tcW w:w="452" w:type="dxa"/>
            <w:shd w:val="clear" w:color="auto" w:fill="auto"/>
            <w:vAlign w:val="center"/>
          </w:tcPr>
          <w:p w:rsidR="00E26342" w:rsidRDefault="00040788">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E26342" w:rsidRDefault="00040788">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Complaints handled in 2017</w:t>
            </w:r>
          </w:p>
        </w:tc>
      </w:tr>
      <w:tr w:rsidR="00E26342">
        <w:trPr>
          <w:trHeight w:val="403"/>
          <w:jc w:val="center"/>
        </w:trPr>
        <w:tc>
          <w:tcPr>
            <w:tcW w:w="1697" w:type="dxa"/>
            <w:tcBorders>
              <w:top w:val="single" w:sz="24" w:space="0" w:color="548DD4"/>
            </w:tcBorders>
            <w:shd w:val="clear" w:color="auto" w:fill="auto"/>
            <w:vAlign w:val="center"/>
          </w:tcPr>
          <w:p w:rsidR="00E26342" w:rsidRDefault="00040788">
            <w:pPr>
              <w:spacing w:after="0"/>
              <w:jc w:val="right"/>
              <w:rPr>
                <w:rFonts w:ascii="Arial" w:hAnsi="Arial" w:cs="Arial"/>
                <w:noProof/>
                <w:color w:val="C00000"/>
                <w:sz w:val="22"/>
                <w:szCs w:val="28"/>
                <w:lang w:eastAsia="en-GB"/>
              </w:rPr>
            </w:pPr>
            <w:r>
              <w:rPr>
                <w:rFonts w:ascii="Arial" w:hAnsi="Arial" w:cs="Arial"/>
                <w:noProof/>
                <w:color w:val="C00000"/>
                <w:sz w:val="22"/>
                <w:szCs w:val="28"/>
                <w:lang w:eastAsia="en-GB"/>
              </w:rPr>
              <w:t>= 48</w:t>
            </w:r>
          </w:p>
        </w:tc>
        <w:tc>
          <w:tcPr>
            <w:tcW w:w="452" w:type="dxa"/>
            <w:shd w:val="clear" w:color="auto" w:fill="auto"/>
            <w:vAlign w:val="center"/>
          </w:tcPr>
          <w:p w:rsidR="00E26342" w:rsidRDefault="00040788">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E26342" w:rsidRDefault="00040788">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Complaints open at end-2017</w:t>
            </w:r>
          </w:p>
        </w:tc>
      </w:tr>
    </w:tbl>
    <w:p w:rsidR="00E26342" w:rsidRDefault="00040788">
      <w:pPr>
        <w:pStyle w:val="Subtitle"/>
        <w:rPr>
          <w:noProof/>
        </w:rPr>
      </w:pPr>
      <w:r>
        <w:rPr>
          <w:noProof/>
        </w:rPr>
        <w:t>New complaints registered in 2017: main policy areas</w:t>
      </w:r>
    </w:p>
    <w:p w:rsidR="00E26342" w:rsidRDefault="00040788">
      <w:pPr>
        <w:spacing w:after="120"/>
        <w:ind w:firstLine="709"/>
        <w:rPr>
          <w:rFonts w:ascii="Arial" w:hAnsi="Arial" w:cs="Arial"/>
          <w:noProof/>
          <w:sz w:val="20"/>
        </w:rPr>
      </w:pPr>
      <w:r>
        <w:rPr>
          <w:rFonts w:ascii="Arial" w:hAnsi="Arial" w:cs="Arial"/>
          <w:noProof/>
          <w:sz w:val="20"/>
          <w:lang w:eastAsia="en-GB"/>
        </w:rPr>
        <w:drawing>
          <wp:inline distT="0" distB="0" distL="0" distR="0" wp14:anchorId="5035E09B" wp14:editId="3DF67FFD">
            <wp:extent cx="4739005" cy="2353310"/>
            <wp:effectExtent l="0" t="0" r="23495" b="27940"/>
            <wp:docPr id="168" name="Grafiek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26342" w:rsidRDefault="00040788">
      <w:pPr>
        <w:spacing w:after="200" w:line="276" w:lineRule="auto"/>
        <w:jc w:val="left"/>
        <w:rPr>
          <w:rFonts w:ascii="Arial" w:hAnsi="Arial" w:cs="Arial"/>
          <w:noProof/>
          <w:sz w:val="20"/>
        </w:rPr>
      </w:pPr>
      <w:r>
        <w:rPr>
          <w:noProof/>
        </w:rPr>
        <w:br w:type="page"/>
      </w:r>
    </w:p>
    <w:p w:rsidR="00E26342" w:rsidRDefault="00040788">
      <w:pPr>
        <w:keepNext/>
        <w:keepLines/>
        <w:numPr>
          <w:ilvl w:val="0"/>
          <w:numId w:val="1"/>
        </w:numPr>
        <w:spacing w:after="120"/>
        <w:ind w:left="709" w:hanging="425"/>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lastRenderedPageBreak/>
        <w:t>EU PILOT</w:t>
      </w:r>
    </w:p>
    <w:p w:rsidR="00E26342" w:rsidRDefault="00040788">
      <w:pPr>
        <w:pStyle w:val="Subtitle"/>
        <w:rPr>
          <w:noProof/>
        </w:rPr>
      </w:pPr>
      <w:r>
        <w:rPr>
          <w:noProof/>
        </w:rPr>
        <w:t xml:space="preserve">New EU Pilot files opened against </w:t>
      </w:r>
      <w:r>
        <w:rPr>
          <w:noProof/>
        </w:rPr>
        <w:t>Luxembourg (2013-2017)</w:t>
      </w:r>
    </w:p>
    <w:p w:rsidR="00E26342" w:rsidRDefault="00040788">
      <w:pPr>
        <w:tabs>
          <w:tab w:val="left" w:pos="0"/>
        </w:tabs>
        <w:ind w:firstLine="709"/>
        <w:rPr>
          <w:rFonts w:ascii="Arial" w:hAnsi="Arial" w:cs="Arial"/>
          <w:noProof/>
          <w:sz w:val="20"/>
        </w:rPr>
      </w:pPr>
      <w:r>
        <w:rPr>
          <w:rFonts w:ascii="Arial" w:hAnsi="Arial" w:cs="Arial"/>
          <w:noProof/>
          <w:sz w:val="20"/>
          <w:lang w:eastAsia="en-GB"/>
        </w:rPr>
        <w:drawing>
          <wp:inline distT="0" distB="0" distL="0" distR="0" wp14:anchorId="3498D30B" wp14:editId="65E5276F">
            <wp:extent cx="4596130" cy="2321560"/>
            <wp:effectExtent l="0" t="0" r="13970" b="21590"/>
            <wp:docPr id="169"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26342" w:rsidRDefault="00040788">
      <w:pPr>
        <w:pStyle w:val="Subtitle"/>
        <w:rPr>
          <w:noProof/>
        </w:rPr>
      </w:pPr>
      <w:r>
        <w:rPr>
          <w:noProof/>
        </w:rPr>
        <w:t>Files relating to Luxembourg open in EU Pilot at year-end</w:t>
      </w:r>
    </w:p>
    <w:p w:rsidR="00E26342" w:rsidRDefault="00040788">
      <w:pPr>
        <w:spacing w:after="120"/>
        <w:ind w:firstLine="709"/>
        <w:rPr>
          <w:rFonts w:ascii="Arial" w:hAnsi="Arial" w:cs="Arial"/>
          <w:noProof/>
          <w:sz w:val="20"/>
        </w:rPr>
      </w:pPr>
      <w:r>
        <w:rPr>
          <w:rFonts w:ascii="Arial" w:hAnsi="Arial" w:cs="Arial"/>
          <w:noProof/>
          <w:sz w:val="20"/>
          <w:lang w:eastAsia="en-GB"/>
        </w:rPr>
        <w:drawing>
          <wp:inline distT="0" distB="0" distL="0" distR="0" wp14:anchorId="2326B062" wp14:editId="1E495806">
            <wp:extent cx="4600575" cy="2276475"/>
            <wp:effectExtent l="0" t="0" r="9525" b="9525"/>
            <wp:docPr id="170"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26342" w:rsidRDefault="00040788">
      <w:pPr>
        <w:pStyle w:val="Subtitle"/>
        <w:rPr>
          <w:noProof/>
        </w:rPr>
      </w:pPr>
      <w:r>
        <w:rPr>
          <w:noProof/>
        </w:rPr>
        <w:t>New EU Pilot files opened in 2017: main policy areas</w:t>
      </w:r>
    </w:p>
    <w:p w:rsidR="00E26342" w:rsidRDefault="00040788">
      <w:pPr>
        <w:spacing w:after="120"/>
        <w:ind w:firstLine="709"/>
        <w:rPr>
          <w:rFonts w:ascii="Arial" w:hAnsi="Arial" w:cs="Arial"/>
          <w:noProof/>
          <w:sz w:val="20"/>
        </w:rPr>
      </w:pPr>
      <w:r>
        <w:rPr>
          <w:rFonts w:ascii="Arial" w:hAnsi="Arial" w:cs="Arial"/>
          <w:noProof/>
          <w:sz w:val="20"/>
          <w:lang w:eastAsia="en-GB"/>
        </w:rPr>
        <w:drawing>
          <wp:inline distT="0" distB="0" distL="0" distR="0" wp14:anchorId="7EC2AF66" wp14:editId="0DCFD85D">
            <wp:extent cx="4648200" cy="2286000"/>
            <wp:effectExtent l="0" t="0" r="19050" b="19050"/>
            <wp:docPr id="171" name="Grafiek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26342" w:rsidRDefault="00E26342">
      <w:pPr>
        <w:spacing w:after="120"/>
        <w:ind w:firstLine="709"/>
        <w:rPr>
          <w:rFonts w:ascii="Arial" w:hAnsi="Arial" w:cs="Arial"/>
          <w:noProof/>
          <w:sz w:val="20"/>
        </w:rPr>
      </w:pPr>
    </w:p>
    <w:p w:rsidR="00E26342" w:rsidRDefault="00040788">
      <w:pPr>
        <w:pStyle w:val="Subtitle"/>
        <w:rPr>
          <w:noProof/>
        </w:rPr>
      </w:pPr>
      <w:r>
        <w:rPr>
          <w:noProof/>
        </w:rPr>
        <w:lastRenderedPageBreak/>
        <w:t>EU Pilot files: Luxembourg’s resolution rate in 2013-2017</w:t>
      </w:r>
    </w:p>
    <w:p w:rsidR="00E26342" w:rsidRDefault="00040788">
      <w:pPr>
        <w:spacing w:after="120"/>
        <w:ind w:firstLine="709"/>
        <w:rPr>
          <w:rFonts w:ascii="Arial" w:hAnsi="Arial" w:cs="Arial"/>
          <w:noProof/>
          <w:sz w:val="20"/>
        </w:rPr>
      </w:pPr>
      <w:r>
        <w:rPr>
          <w:rFonts w:ascii="Arial" w:hAnsi="Arial" w:cs="Arial"/>
          <w:noProof/>
          <w:sz w:val="20"/>
          <w:lang w:eastAsia="en-GB"/>
        </w:rPr>
        <w:drawing>
          <wp:inline distT="0" distB="0" distL="0" distR="0" wp14:anchorId="79AC2872" wp14:editId="5C989440">
            <wp:extent cx="4556125" cy="2289810"/>
            <wp:effectExtent l="0" t="0" r="15875" b="15240"/>
            <wp:docPr id="172"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26342" w:rsidRDefault="00040788">
      <w:pPr>
        <w:pStyle w:val="kop2"/>
        <w:numPr>
          <w:ilvl w:val="0"/>
          <w:numId w:val="51"/>
        </w:numPr>
        <w:spacing w:before="360" w:after="240"/>
        <w:ind w:left="709" w:hanging="425"/>
        <w:rPr>
          <w:caps w:val="0"/>
          <w:noProof/>
        </w:rPr>
      </w:pPr>
      <w:r>
        <w:rPr>
          <w:noProof/>
        </w:rPr>
        <w:t>INFRINGEMENT</w:t>
      </w:r>
      <w:r>
        <w:rPr>
          <w:caps w:val="0"/>
          <w:noProof/>
        </w:rPr>
        <w:t xml:space="preserve"> CASES</w:t>
      </w:r>
    </w:p>
    <w:p w:rsidR="00E26342" w:rsidRDefault="00040788">
      <w:pPr>
        <w:pStyle w:val="AnnualReport2"/>
        <w:numPr>
          <w:ilvl w:val="0"/>
          <w:numId w:val="99"/>
        </w:numPr>
        <w:ind w:left="709" w:hanging="425"/>
        <w:rPr>
          <w:noProof/>
        </w:rPr>
      </w:pPr>
      <w:r>
        <w:rPr>
          <w:noProof/>
        </w:rPr>
        <w:t xml:space="preserve">Infringement cases against </w:t>
      </w:r>
      <w:r>
        <w:rPr>
          <w:noProof/>
        </w:rPr>
        <w:t>Luxembourg open on 31 December (2013-2017)</w:t>
      </w:r>
    </w:p>
    <w:p w:rsidR="00E26342" w:rsidRDefault="00040788">
      <w:pPr>
        <w:spacing w:after="120"/>
        <w:ind w:firstLine="709"/>
        <w:rPr>
          <w:rFonts w:ascii="Arial" w:hAnsi="Arial" w:cs="Arial"/>
          <w:noProof/>
          <w:color w:val="002060"/>
          <w:sz w:val="22"/>
          <w:szCs w:val="22"/>
        </w:rPr>
      </w:pPr>
      <w:r>
        <w:rPr>
          <w:rFonts w:ascii="Arial" w:hAnsi="Arial" w:cs="Arial"/>
          <w:noProof/>
          <w:sz w:val="20"/>
          <w:lang w:eastAsia="en-GB"/>
        </w:rPr>
        <w:drawing>
          <wp:inline distT="0" distB="0" distL="0" distR="0" wp14:anchorId="647C383C" wp14:editId="0C863F99">
            <wp:extent cx="4587875" cy="2146935"/>
            <wp:effectExtent l="0" t="0" r="0" b="0"/>
            <wp:docPr id="173" name="Grafiek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26342" w:rsidRDefault="00040788">
      <w:pPr>
        <w:pStyle w:val="AnnualReport2"/>
        <w:numPr>
          <w:ilvl w:val="0"/>
          <w:numId w:val="99"/>
        </w:numPr>
        <w:rPr>
          <w:noProof/>
        </w:rPr>
      </w:pPr>
      <w:r>
        <w:rPr>
          <w:noProof/>
        </w:rPr>
        <w:t>New infringement cases opened in 2017: main policy areas</w:t>
      </w:r>
    </w:p>
    <w:p w:rsidR="00E26342" w:rsidRDefault="00040788">
      <w:pPr>
        <w:spacing w:after="120"/>
        <w:ind w:firstLine="709"/>
        <w:rPr>
          <w:rFonts w:ascii="Arial" w:hAnsi="Arial" w:cs="Arial"/>
          <w:noProof/>
          <w:sz w:val="20"/>
        </w:rPr>
      </w:pPr>
      <w:r>
        <w:rPr>
          <w:rFonts w:ascii="Arial" w:hAnsi="Arial" w:cs="Arial"/>
          <w:noProof/>
          <w:sz w:val="20"/>
          <w:lang w:eastAsia="en-GB"/>
        </w:rPr>
        <w:drawing>
          <wp:inline distT="0" distB="0" distL="0" distR="0" wp14:anchorId="15429658" wp14:editId="368E6591">
            <wp:extent cx="4556760" cy="2438400"/>
            <wp:effectExtent l="0" t="0" r="15240" b="19050"/>
            <wp:docPr id="174" name="Object 17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26342" w:rsidRDefault="00E26342">
      <w:pPr>
        <w:pStyle w:val="AnnualReport2"/>
        <w:ind w:firstLine="0"/>
        <w:rPr>
          <w:noProof/>
        </w:rPr>
      </w:pPr>
    </w:p>
    <w:p w:rsidR="00E26342" w:rsidRDefault="00040788">
      <w:pPr>
        <w:pStyle w:val="AnnualReport2"/>
        <w:numPr>
          <w:ilvl w:val="0"/>
          <w:numId w:val="99"/>
        </w:numPr>
        <w:rPr>
          <w:noProof/>
        </w:rPr>
      </w:pPr>
      <w:r>
        <w:rPr>
          <w:noProof/>
        </w:rPr>
        <w:lastRenderedPageBreak/>
        <w:t>Key infringement cases and referrals to the Court</w:t>
      </w:r>
    </w:p>
    <w:p w:rsidR="00E26342" w:rsidRDefault="00040788">
      <w:pPr>
        <w:pStyle w:val="Lijstje"/>
        <w:numPr>
          <w:ilvl w:val="0"/>
          <w:numId w:val="52"/>
        </w:numPr>
        <w:ind w:left="1276" w:hanging="425"/>
        <w:rPr>
          <w:noProof/>
        </w:rPr>
      </w:pPr>
      <w:r>
        <w:rPr>
          <w:noProof/>
        </w:rPr>
        <w:t xml:space="preserve">The Commission opened 24 new infringement cases against Luxembourg in 2017. These, and other major </w:t>
      </w:r>
      <w:r>
        <w:rPr>
          <w:noProof/>
        </w:rPr>
        <w:t>ongoing infringement cases, include:</w:t>
      </w:r>
    </w:p>
    <w:p w:rsidR="00E26342" w:rsidRDefault="00040788">
      <w:pPr>
        <w:pStyle w:val="Lijstje2"/>
        <w:spacing w:after="200"/>
        <w:ind w:left="1843" w:hanging="425"/>
        <w:rPr>
          <w:rFonts w:ascii="Arial" w:hAnsi="Arial" w:cs="Arial"/>
          <w:noProof/>
          <w:lang w:val="en-GB"/>
        </w:rPr>
      </w:pPr>
      <w:r>
        <w:rPr>
          <w:rFonts w:ascii="Arial" w:hAnsi="Arial" w:cs="Arial"/>
          <w:noProof/>
          <w:lang w:val="en-GB"/>
        </w:rPr>
        <w:t>non-communication of national measures transposing the:</w:t>
      </w:r>
    </w:p>
    <w:p w:rsidR="00E26342" w:rsidRDefault="00040788">
      <w:pPr>
        <w:pStyle w:val="Lijstje2"/>
        <w:numPr>
          <w:ilvl w:val="2"/>
          <w:numId w:val="2"/>
        </w:numPr>
        <w:spacing w:after="200"/>
        <w:ind w:left="2410" w:hanging="425"/>
        <w:rPr>
          <w:rFonts w:ascii="Arial" w:hAnsi="Arial" w:cs="Arial"/>
          <w:noProof/>
          <w:lang w:val="en-GB"/>
        </w:rPr>
      </w:pPr>
      <w:r>
        <w:rPr>
          <w:rFonts w:ascii="Arial" w:hAnsi="Arial" w:cs="Arial"/>
          <w:noProof/>
          <w:lang w:val="en-GB"/>
        </w:rPr>
        <w:t>Directive on caseins and caseinates</w:t>
      </w:r>
      <w:r>
        <w:rPr>
          <w:rStyle w:val="FootnoteReference"/>
          <w:rFonts w:ascii="Arial" w:hAnsi="Arial" w:cs="Arial"/>
          <w:noProof/>
          <w:lang w:val="en-GB"/>
        </w:rPr>
        <w:footnoteReference w:id="2"/>
      </w:r>
      <w:r>
        <w:rPr>
          <w:rFonts w:ascii="Arial" w:hAnsi="Arial" w:cs="Arial"/>
          <w:noProof/>
          <w:lang w:val="en-GB"/>
        </w:rPr>
        <w:t>;</w:t>
      </w:r>
    </w:p>
    <w:p w:rsidR="00E26342" w:rsidRDefault="00040788">
      <w:pPr>
        <w:pStyle w:val="Lijstje2"/>
        <w:numPr>
          <w:ilvl w:val="2"/>
          <w:numId w:val="2"/>
        </w:numPr>
        <w:spacing w:after="200"/>
        <w:ind w:left="2410" w:hanging="425"/>
        <w:rPr>
          <w:rFonts w:ascii="Arial" w:hAnsi="Arial" w:cs="Arial"/>
          <w:noProof/>
          <w:lang w:val="en-GB"/>
        </w:rPr>
      </w:pPr>
      <w:r>
        <w:rPr>
          <w:rFonts w:ascii="Arial" w:hAnsi="Arial" w:cs="Arial"/>
          <w:noProof/>
          <w:lang w:val="en-GB"/>
        </w:rPr>
        <w:t>Directives on the registration of suppliers and of varieties and the common list of varieties, on requirements for the labell</w:t>
      </w:r>
      <w:r>
        <w:rPr>
          <w:rFonts w:ascii="Arial" w:hAnsi="Arial" w:cs="Arial"/>
          <w:noProof/>
          <w:lang w:val="en-GB"/>
        </w:rPr>
        <w:t>ing, sealing and packaging of fruit plant propagating material and on the specific requirements for the genus and species of fruit plants;</w:t>
      </w:r>
    </w:p>
    <w:p w:rsidR="00E26342" w:rsidRDefault="00040788">
      <w:pPr>
        <w:pStyle w:val="Lijstje2"/>
        <w:numPr>
          <w:ilvl w:val="2"/>
          <w:numId w:val="2"/>
        </w:numPr>
        <w:spacing w:after="200"/>
        <w:ind w:left="2410" w:hanging="425"/>
        <w:rPr>
          <w:rFonts w:ascii="Arial" w:hAnsi="Arial" w:cs="Arial"/>
          <w:noProof/>
          <w:lang w:val="en-GB"/>
        </w:rPr>
      </w:pPr>
      <w:r>
        <w:rPr>
          <w:rFonts w:ascii="Arial" w:hAnsi="Arial" w:cs="Arial"/>
          <w:noProof/>
          <w:lang w:val="en-GB"/>
        </w:rPr>
        <w:t>Fourth Anti-Money Laundering Directive</w:t>
      </w:r>
      <w:r>
        <w:rPr>
          <w:rStyle w:val="FootnoteReference"/>
          <w:rFonts w:ascii="Arial" w:hAnsi="Arial" w:cs="Arial"/>
          <w:noProof/>
          <w:lang w:val="en-GB"/>
        </w:rPr>
        <w:footnoteReference w:id="3"/>
      </w:r>
      <w:r>
        <w:rPr>
          <w:rFonts w:ascii="Arial" w:hAnsi="Arial" w:cs="Arial"/>
          <w:noProof/>
          <w:lang w:val="en-GB"/>
        </w:rPr>
        <w:t>;</w:t>
      </w:r>
    </w:p>
    <w:p w:rsidR="00E26342" w:rsidRDefault="00040788">
      <w:pPr>
        <w:pStyle w:val="Lijstje2"/>
        <w:numPr>
          <w:ilvl w:val="2"/>
          <w:numId w:val="2"/>
        </w:numPr>
        <w:spacing w:after="200"/>
        <w:ind w:left="2410" w:hanging="425"/>
        <w:rPr>
          <w:rFonts w:ascii="Arial" w:hAnsi="Arial" w:cs="Arial"/>
          <w:noProof/>
          <w:lang w:val="en-GB"/>
        </w:rPr>
      </w:pPr>
      <w:r>
        <w:rPr>
          <w:rFonts w:ascii="Arial" w:hAnsi="Arial" w:cs="Arial"/>
          <w:noProof/>
          <w:lang w:val="en-GB"/>
        </w:rPr>
        <w:t>‘Swedish initiative’, which allows for more effective information and intell</w:t>
      </w:r>
      <w:r>
        <w:rPr>
          <w:rFonts w:ascii="Arial" w:hAnsi="Arial" w:cs="Arial"/>
          <w:noProof/>
          <w:lang w:val="en-GB"/>
        </w:rPr>
        <w:t>igence sharing between Member States’ law enforcement authorities when conducting criminal investigations or criminal intelligence operations;</w:t>
      </w:r>
    </w:p>
    <w:p w:rsidR="00E26342" w:rsidRDefault="00040788">
      <w:pPr>
        <w:pStyle w:val="Lijstje2"/>
        <w:numPr>
          <w:ilvl w:val="2"/>
          <w:numId w:val="2"/>
        </w:numPr>
        <w:ind w:left="2410" w:hanging="425"/>
        <w:rPr>
          <w:rFonts w:ascii="Arial" w:hAnsi="Arial" w:cs="Arial"/>
          <w:noProof/>
          <w:lang w:val="en-GB"/>
        </w:rPr>
      </w:pPr>
      <w:r>
        <w:rPr>
          <w:rFonts w:ascii="Arial" w:hAnsi="Arial" w:cs="Arial"/>
          <w:noProof/>
          <w:lang w:val="en-GB"/>
        </w:rPr>
        <w:t>Markets in Financial Instruments Directive (MiFID II)</w:t>
      </w:r>
      <w:r>
        <w:rPr>
          <w:rStyle w:val="FootnoteReference"/>
          <w:noProof/>
          <w:lang w:val="en-GB"/>
        </w:rPr>
        <w:footnoteReference w:id="4"/>
      </w:r>
      <w:r>
        <w:rPr>
          <w:rFonts w:ascii="Arial" w:hAnsi="Arial" w:cs="Arial"/>
          <w:noProof/>
          <w:lang w:val="en-GB"/>
        </w:rPr>
        <w:t>;</w:t>
      </w:r>
    </w:p>
    <w:p w:rsidR="00E26342" w:rsidRDefault="00040788">
      <w:pPr>
        <w:pStyle w:val="Lijstje2"/>
        <w:numPr>
          <w:ilvl w:val="2"/>
          <w:numId w:val="2"/>
        </w:numPr>
        <w:ind w:left="2410" w:hanging="425"/>
        <w:rPr>
          <w:rFonts w:ascii="Arial" w:hAnsi="Arial" w:cs="Arial"/>
          <w:noProof/>
          <w:lang w:val="en-GB"/>
        </w:rPr>
      </w:pPr>
      <w:r>
        <w:rPr>
          <w:rFonts w:ascii="Arial" w:hAnsi="Arial" w:cs="Arial"/>
          <w:noProof/>
          <w:lang w:val="en-GB"/>
        </w:rPr>
        <w:t>Payment Accounts Directive</w:t>
      </w:r>
      <w:r>
        <w:rPr>
          <w:rStyle w:val="FootnoteReference"/>
          <w:noProof/>
          <w:lang w:val="en-GB"/>
        </w:rPr>
        <w:footnoteReference w:id="5"/>
      </w:r>
      <w:r>
        <w:rPr>
          <w:rFonts w:ascii="Arial" w:hAnsi="Arial" w:cs="Arial"/>
          <w:noProof/>
          <w:lang w:val="en-GB"/>
        </w:rPr>
        <w:t>;</w:t>
      </w:r>
    </w:p>
    <w:p w:rsidR="00E26342" w:rsidRDefault="00040788">
      <w:pPr>
        <w:pStyle w:val="Lijstje2"/>
        <w:numPr>
          <w:ilvl w:val="2"/>
          <w:numId w:val="2"/>
        </w:numPr>
        <w:spacing w:after="0"/>
        <w:ind w:left="2410" w:hanging="425"/>
        <w:rPr>
          <w:rFonts w:ascii="Arial" w:hAnsi="Arial" w:cs="Arial"/>
          <w:noProof/>
          <w:lang w:val="en-GB"/>
        </w:rPr>
      </w:pPr>
      <w:r>
        <w:rPr>
          <w:rFonts w:ascii="Arial" w:hAnsi="Arial" w:cs="Arial"/>
          <w:noProof/>
          <w:lang w:val="en-GB"/>
        </w:rPr>
        <w:t>Directive on the organisatio</w:t>
      </w:r>
      <w:r>
        <w:rPr>
          <w:rFonts w:ascii="Arial" w:hAnsi="Arial" w:cs="Arial"/>
          <w:noProof/>
          <w:lang w:val="en-GB"/>
        </w:rPr>
        <w:t>n of working time in inland waterway transport</w:t>
      </w:r>
      <w:r>
        <w:rPr>
          <w:rStyle w:val="FootnoteReference"/>
          <w:noProof/>
          <w:lang w:val="en-GB"/>
        </w:rPr>
        <w:footnoteReference w:id="6"/>
      </w:r>
      <w:r>
        <w:rPr>
          <w:rFonts w:ascii="Arial" w:hAnsi="Arial" w:cs="Arial"/>
          <w:noProof/>
          <w:lang w:val="en-GB"/>
        </w:rPr>
        <w:t>;</w:t>
      </w:r>
    </w:p>
    <w:p w:rsidR="00E26342" w:rsidRDefault="00040788">
      <w:pPr>
        <w:numPr>
          <w:ilvl w:val="2"/>
          <w:numId w:val="2"/>
        </w:numPr>
        <w:spacing w:after="0"/>
        <w:ind w:left="2410" w:hanging="425"/>
        <w:contextualSpacing/>
        <w:rPr>
          <w:rFonts w:ascii="Arial" w:hAnsi="Arial" w:cs="Arial"/>
          <w:noProof/>
          <w:sz w:val="20"/>
        </w:rPr>
      </w:pPr>
      <w:r>
        <w:rPr>
          <w:rFonts w:ascii="Arial" w:hAnsi="Arial" w:cs="Arial"/>
          <w:noProof/>
          <w:sz w:val="20"/>
        </w:rPr>
        <w:t>amending Nuclear Safety Directive</w:t>
      </w:r>
      <w:r>
        <w:rPr>
          <w:rStyle w:val="FootnoteReference"/>
          <w:rFonts w:ascii="Arial" w:hAnsi="Arial" w:cs="Arial"/>
          <w:noProof/>
          <w:sz w:val="20"/>
        </w:rPr>
        <w:footnoteReference w:id="7"/>
      </w:r>
      <w:r>
        <w:rPr>
          <w:rFonts w:ascii="Arial" w:hAnsi="Arial" w:cs="Arial"/>
          <w:noProof/>
          <w:sz w:val="20"/>
        </w:rPr>
        <w:t>;</w:t>
      </w:r>
    </w:p>
    <w:p w:rsidR="00E26342" w:rsidRDefault="00040788">
      <w:pPr>
        <w:pStyle w:val="Lijstje2"/>
        <w:spacing w:after="200"/>
        <w:ind w:left="1985" w:hanging="426"/>
        <w:rPr>
          <w:rFonts w:ascii="Arial" w:hAnsi="Arial" w:cs="Arial"/>
          <w:noProof/>
          <w:lang w:val="en-GB"/>
        </w:rPr>
      </w:pPr>
      <w:r>
        <w:rPr>
          <w:rFonts w:ascii="Arial" w:hAnsi="Arial" w:cs="Arial"/>
          <w:noProof/>
          <w:lang w:val="en-GB"/>
        </w:rPr>
        <w:t>failure to comply with reporting obligations under EU waste legislation</w:t>
      </w:r>
      <w:r>
        <w:rPr>
          <w:rStyle w:val="FootnoteReference"/>
          <w:rFonts w:ascii="Arial" w:hAnsi="Arial" w:cs="Arial"/>
          <w:noProof/>
          <w:lang w:val="en-GB"/>
        </w:rPr>
        <w:footnoteReference w:id="8"/>
      </w:r>
      <w:r>
        <w:rPr>
          <w:rFonts w:ascii="Arial" w:hAnsi="Arial" w:cs="Arial"/>
          <w:noProof/>
          <w:lang w:val="en-GB"/>
        </w:rPr>
        <w:t>;</w:t>
      </w:r>
    </w:p>
    <w:p w:rsidR="00E26342" w:rsidRDefault="00040788">
      <w:pPr>
        <w:pStyle w:val="Lijstje2"/>
        <w:spacing w:after="200"/>
        <w:ind w:left="1985" w:hanging="426"/>
        <w:rPr>
          <w:rFonts w:ascii="Arial" w:hAnsi="Arial" w:cs="Arial"/>
          <w:i/>
          <w:noProof/>
          <w:lang w:val="en-GB"/>
        </w:rPr>
      </w:pPr>
      <w:r>
        <w:rPr>
          <w:rFonts w:ascii="Arial" w:hAnsi="Arial" w:cs="Arial"/>
          <w:noProof/>
          <w:lang w:val="en-GB"/>
        </w:rPr>
        <w:t>failure to ensure proper monitoring of air quality throughout their whole territory</w:t>
      </w:r>
      <w:r>
        <w:rPr>
          <w:rStyle w:val="FootnoteReference"/>
          <w:rFonts w:ascii="Arial" w:hAnsi="Arial" w:cs="Arial"/>
          <w:noProof/>
          <w:lang w:val="en-GB"/>
        </w:rPr>
        <w:footnoteReference w:id="9"/>
      </w:r>
      <w:r>
        <w:rPr>
          <w:rFonts w:ascii="Arial" w:hAnsi="Arial" w:cs="Arial"/>
          <w:noProof/>
          <w:lang w:val="en-GB"/>
        </w:rPr>
        <w:t>.</w:t>
      </w:r>
    </w:p>
    <w:p w:rsidR="00E26342" w:rsidRDefault="00E26342">
      <w:pPr>
        <w:pStyle w:val="Lijstje2"/>
        <w:numPr>
          <w:ilvl w:val="0"/>
          <w:numId w:val="0"/>
        </w:numPr>
        <w:spacing w:after="200"/>
        <w:ind w:left="1985"/>
        <w:rPr>
          <w:rFonts w:ascii="Arial" w:hAnsi="Arial" w:cs="Arial"/>
          <w:i/>
          <w:noProof/>
          <w:lang w:val="en-GB"/>
        </w:rPr>
      </w:pPr>
    </w:p>
    <w:p w:rsidR="00E26342" w:rsidRDefault="00040788">
      <w:pPr>
        <w:pStyle w:val="Lijstje"/>
        <w:numPr>
          <w:ilvl w:val="0"/>
          <w:numId w:val="52"/>
        </w:numPr>
        <w:ind w:left="1276" w:hanging="425"/>
        <w:rPr>
          <w:noProof/>
        </w:rPr>
      </w:pPr>
      <w:r>
        <w:rPr>
          <w:noProof/>
        </w:rPr>
        <w:t xml:space="preserve">The </w:t>
      </w:r>
      <w:r>
        <w:rPr>
          <w:noProof/>
        </w:rPr>
        <w:t>Commission did not refer any cases to the Court under Article 258 TFEU</w:t>
      </w:r>
    </w:p>
    <w:p w:rsidR="00E26342" w:rsidRDefault="00040788">
      <w:pPr>
        <w:pStyle w:val="Lijstje"/>
        <w:numPr>
          <w:ilvl w:val="0"/>
          <w:numId w:val="52"/>
        </w:numPr>
        <w:ind w:left="1276" w:hanging="425"/>
        <w:rPr>
          <w:noProof/>
        </w:rPr>
      </w:pPr>
      <w:r>
        <w:rPr>
          <w:noProof/>
        </w:rPr>
        <w:t>The Commission did not refer any cases to the Court under Article 260(2) TFEU.</w:t>
      </w:r>
    </w:p>
    <w:p w:rsidR="00E26342" w:rsidRDefault="00040788">
      <w:pPr>
        <w:keepNext/>
        <w:keepLines/>
        <w:numPr>
          <w:ilvl w:val="0"/>
          <w:numId w:val="1"/>
        </w:numPr>
        <w:spacing w:before="360"/>
        <w:ind w:left="709" w:hanging="425"/>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TRANSPOSITION OF DIRECTIVES</w:t>
      </w:r>
    </w:p>
    <w:p w:rsidR="00E26342" w:rsidRDefault="00040788">
      <w:pPr>
        <w:pStyle w:val="AnnualReport2"/>
        <w:numPr>
          <w:ilvl w:val="0"/>
          <w:numId w:val="100"/>
        </w:numPr>
        <w:ind w:left="709" w:hanging="425"/>
        <w:rPr>
          <w:noProof/>
        </w:rPr>
      </w:pPr>
      <w:r>
        <w:rPr>
          <w:noProof/>
        </w:rPr>
        <w:t xml:space="preserve">Late transposition infringement cases against Luxembourg open on 31 December </w:t>
      </w:r>
      <w:r>
        <w:rPr>
          <w:noProof/>
        </w:rPr>
        <w:t>(2013-2017)</w:t>
      </w:r>
    </w:p>
    <w:p w:rsidR="00E26342" w:rsidRDefault="00040788">
      <w:pPr>
        <w:ind w:left="426" w:firstLine="283"/>
        <w:rPr>
          <w:noProof/>
        </w:rPr>
      </w:pPr>
      <w:r>
        <w:rPr>
          <w:noProof/>
          <w:lang w:eastAsia="en-GB"/>
        </w:rPr>
        <w:drawing>
          <wp:inline distT="0" distB="0" distL="0" distR="0" wp14:anchorId="0FDB3CFA" wp14:editId="68BEF95E">
            <wp:extent cx="4596130" cy="2321560"/>
            <wp:effectExtent l="0" t="0" r="0" b="0"/>
            <wp:docPr id="943"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26342" w:rsidRDefault="00E26342">
      <w:pPr>
        <w:pStyle w:val="AnnualReport2"/>
        <w:ind w:firstLine="0"/>
        <w:rPr>
          <w:noProof/>
        </w:rPr>
      </w:pPr>
    </w:p>
    <w:p w:rsidR="00E26342" w:rsidRDefault="00040788">
      <w:pPr>
        <w:pStyle w:val="AnnualReport2"/>
        <w:numPr>
          <w:ilvl w:val="0"/>
          <w:numId w:val="100"/>
        </w:numPr>
        <w:ind w:left="709" w:hanging="425"/>
        <w:rPr>
          <w:noProof/>
        </w:rPr>
      </w:pPr>
      <w:r>
        <w:rPr>
          <w:noProof/>
        </w:rPr>
        <w:t>New late transposition infringement cases against Luxembourg (2013-2017)</w:t>
      </w:r>
    </w:p>
    <w:p w:rsidR="00E26342" w:rsidRDefault="00040788">
      <w:pPr>
        <w:spacing w:after="120"/>
        <w:ind w:firstLine="709"/>
        <w:rPr>
          <w:rFonts w:ascii="Arial" w:hAnsi="Arial" w:cs="Arial"/>
          <w:noProof/>
          <w:sz w:val="20"/>
        </w:rPr>
      </w:pPr>
      <w:r>
        <w:rPr>
          <w:rFonts w:ascii="Arial" w:hAnsi="Arial" w:cs="Arial"/>
          <w:noProof/>
          <w:sz w:val="20"/>
          <w:lang w:eastAsia="en-GB"/>
        </w:rPr>
        <w:drawing>
          <wp:inline distT="0" distB="0" distL="0" distR="0" wp14:anchorId="01716DFC" wp14:editId="7795000F">
            <wp:extent cx="4596130" cy="2321560"/>
            <wp:effectExtent l="0" t="0" r="13970" b="21590"/>
            <wp:docPr id="942"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26342" w:rsidRDefault="00040788">
      <w:pPr>
        <w:pStyle w:val="AnnualReport2"/>
        <w:numPr>
          <w:ilvl w:val="0"/>
          <w:numId w:val="100"/>
        </w:numPr>
        <w:ind w:left="709" w:hanging="425"/>
        <w:rPr>
          <w:noProof/>
        </w:rPr>
      </w:pPr>
      <w:r>
        <w:rPr>
          <w:noProof/>
        </w:rPr>
        <w:t>New late transposition infringement cases opened in 2017: main policy areas</w:t>
      </w:r>
    </w:p>
    <w:p w:rsidR="00E26342" w:rsidRDefault="00040788">
      <w:pPr>
        <w:spacing w:after="120"/>
        <w:ind w:firstLine="709"/>
        <w:rPr>
          <w:rFonts w:ascii="Arial" w:hAnsi="Arial" w:cs="Arial"/>
          <w:noProof/>
          <w:sz w:val="20"/>
        </w:rPr>
      </w:pPr>
      <w:r>
        <w:rPr>
          <w:rFonts w:ascii="Arial" w:hAnsi="Arial" w:cs="Arial"/>
          <w:noProof/>
          <w:sz w:val="20"/>
          <w:lang w:eastAsia="en-GB"/>
        </w:rPr>
        <w:drawing>
          <wp:inline distT="0" distB="0" distL="0" distR="0" wp14:anchorId="2A304367" wp14:editId="18968057">
            <wp:extent cx="4763135" cy="2337435"/>
            <wp:effectExtent l="0" t="0" r="18415" b="24765"/>
            <wp:docPr id="941" name="Object 17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26342" w:rsidRDefault="00040788">
      <w:pPr>
        <w:pStyle w:val="AnnualReport2"/>
        <w:numPr>
          <w:ilvl w:val="0"/>
          <w:numId w:val="100"/>
        </w:numPr>
        <w:ind w:left="709" w:hanging="425"/>
        <w:rPr>
          <w:noProof/>
        </w:rPr>
      </w:pPr>
      <w:r>
        <w:rPr>
          <w:noProof/>
        </w:rPr>
        <w:t>Referrals to the Court</w:t>
      </w:r>
    </w:p>
    <w:p w:rsidR="00E26342" w:rsidRDefault="00040788">
      <w:pPr>
        <w:spacing w:after="120"/>
        <w:ind w:left="709"/>
        <w:rPr>
          <w:rFonts w:ascii="Arial" w:hAnsi="Arial" w:cs="Arial"/>
          <w:noProof/>
        </w:rPr>
      </w:pPr>
      <w:r>
        <w:rPr>
          <w:rFonts w:ascii="Arial" w:eastAsia="Calibri" w:hAnsi="Arial" w:cs="Arial"/>
          <w:noProof/>
          <w:kern w:val="20"/>
          <w:sz w:val="20"/>
        </w:rPr>
        <w:t xml:space="preserve">The Commission did not refer any cases to the Court under </w:t>
      </w:r>
      <w:r>
        <w:rPr>
          <w:rFonts w:ascii="Arial" w:eastAsia="Calibri" w:hAnsi="Arial" w:cs="Arial"/>
          <w:noProof/>
          <w:kern w:val="20"/>
          <w:sz w:val="20"/>
        </w:rPr>
        <w:t>Articles 258 and 260(3) TFEU.</w:t>
      </w:r>
    </w:p>
    <w:p w:rsidR="00E26342" w:rsidRDefault="00040788">
      <w:pPr>
        <w:keepNext/>
        <w:keepLines/>
        <w:numPr>
          <w:ilvl w:val="0"/>
          <w:numId w:val="1"/>
        </w:numPr>
        <w:spacing w:before="360"/>
        <w:ind w:left="709" w:hanging="425"/>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EARLY RESOLUTION OF INFRINGEMENT CASES</w:t>
      </w:r>
    </w:p>
    <w:p w:rsidR="00E26342" w:rsidRDefault="00040788">
      <w:pPr>
        <w:spacing w:after="60"/>
        <w:ind w:left="786" w:hanging="77"/>
        <w:jc w:val="left"/>
        <w:outlineLvl w:val="1"/>
        <w:rPr>
          <w:rFonts w:ascii="Arial" w:hAnsi="Arial"/>
          <w:noProof/>
          <w:color w:val="002060"/>
          <w:sz w:val="22"/>
          <w:szCs w:val="22"/>
        </w:rPr>
      </w:pPr>
      <w:r>
        <w:rPr>
          <w:rFonts w:ascii="Arial" w:hAnsi="Arial"/>
          <w:noProof/>
          <w:color w:val="002060"/>
          <w:sz w:val="22"/>
          <w:szCs w:val="22"/>
        </w:rPr>
        <w:t>Major cases closed without a Court judgment in 2017</w:t>
      </w:r>
    </w:p>
    <w:p w:rsidR="00E26342" w:rsidRDefault="00040788">
      <w:pPr>
        <w:spacing w:before="120" w:after="120"/>
        <w:ind w:left="425" w:firstLine="284"/>
        <w:rPr>
          <w:rFonts w:ascii="Arial" w:hAnsi="Arial" w:cs="Arial"/>
          <w:noProof/>
          <w:sz w:val="20"/>
        </w:rPr>
      </w:pPr>
      <w:r>
        <w:rPr>
          <w:rFonts w:ascii="Arial" w:hAnsi="Arial" w:cs="Arial"/>
          <w:noProof/>
          <w:sz w:val="20"/>
        </w:rPr>
        <w:t>These concerned:</w:t>
      </w:r>
    </w:p>
    <w:p w:rsidR="00E26342" w:rsidRDefault="00040788">
      <w:pPr>
        <w:numPr>
          <w:ilvl w:val="0"/>
          <w:numId w:val="2"/>
        </w:numPr>
        <w:spacing w:after="200"/>
        <w:ind w:left="1276" w:hanging="425"/>
        <w:contextualSpacing/>
        <w:rPr>
          <w:rFonts w:ascii="Arial" w:eastAsia="Calibri" w:hAnsi="Arial" w:cs="Arial"/>
          <w:noProof/>
          <w:sz w:val="20"/>
        </w:rPr>
      </w:pPr>
      <w:r>
        <w:rPr>
          <w:rFonts w:ascii="Arial" w:hAnsi="Arial" w:cs="Arial"/>
          <w:noProof/>
          <w:sz w:val="20"/>
        </w:rPr>
        <w:t>non-communication of national measures transposing the:</w:t>
      </w:r>
    </w:p>
    <w:p w:rsidR="00E26342" w:rsidRDefault="00040788">
      <w:pPr>
        <w:numPr>
          <w:ilvl w:val="1"/>
          <w:numId w:val="2"/>
        </w:numPr>
        <w:spacing w:after="200"/>
        <w:contextualSpacing/>
        <w:rPr>
          <w:rFonts w:ascii="Arial" w:eastAsia="Calibri" w:hAnsi="Arial" w:cs="Arial"/>
          <w:noProof/>
          <w:sz w:val="20"/>
        </w:rPr>
      </w:pPr>
      <w:r>
        <w:rPr>
          <w:rFonts w:ascii="Arial" w:hAnsi="Arial" w:cs="Arial"/>
          <w:noProof/>
          <w:sz w:val="20"/>
        </w:rPr>
        <w:t>Directive on caseins and caseinates</w:t>
      </w:r>
      <w:r>
        <w:rPr>
          <w:rStyle w:val="FootnoteReference"/>
          <w:rFonts w:ascii="Arial" w:hAnsi="Arial" w:cs="Arial"/>
          <w:noProof/>
          <w:sz w:val="20"/>
        </w:rPr>
        <w:footnoteReference w:id="10"/>
      </w:r>
      <w:r>
        <w:rPr>
          <w:rFonts w:ascii="Arial" w:hAnsi="Arial" w:cs="Arial"/>
          <w:noProof/>
          <w:sz w:val="20"/>
        </w:rPr>
        <w:t>;</w:t>
      </w:r>
    </w:p>
    <w:p w:rsidR="00E26342" w:rsidRDefault="00040788">
      <w:pPr>
        <w:numPr>
          <w:ilvl w:val="1"/>
          <w:numId w:val="2"/>
        </w:numPr>
        <w:spacing w:after="200"/>
        <w:contextualSpacing/>
        <w:rPr>
          <w:rFonts w:ascii="Arial" w:eastAsia="Calibri" w:hAnsi="Arial"/>
          <w:noProof/>
          <w:sz w:val="20"/>
        </w:rPr>
      </w:pPr>
      <w:r>
        <w:rPr>
          <w:rFonts w:ascii="Arial" w:hAnsi="Arial" w:cs="Arial"/>
          <w:noProof/>
          <w:sz w:val="20"/>
        </w:rPr>
        <w:t>Commission Directive</w:t>
      </w:r>
      <w:r>
        <w:rPr>
          <w:rStyle w:val="FootnoteReference"/>
          <w:rFonts w:ascii="Arial" w:hAnsi="Arial" w:cs="Arial"/>
          <w:noProof/>
          <w:sz w:val="20"/>
        </w:rPr>
        <w:footnoteReference w:id="11"/>
      </w:r>
      <w:r>
        <w:rPr>
          <w:rFonts w:ascii="Arial" w:hAnsi="Arial" w:cs="Arial"/>
          <w:noProof/>
          <w:sz w:val="20"/>
        </w:rPr>
        <w:t xml:space="preserve"> amending the Groundwater Directive</w:t>
      </w:r>
      <w:r>
        <w:rPr>
          <w:rStyle w:val="FootnoteReference"/>
          <w:rFonts w:ascii="Arial" w:hAnsi="Arial" w:cs="Arial"/>
          <w:noProof/>
          <w:sz w:val="20"/>
        </w:rPr>
        <w:footnoteReference w:id="12"/>
      </w:r>
      <w:r>
        <w:rPr>
          <w:rFonts w:ascii="Arial" w:hAnsi="Arial" w:cs="Arial"/>
          <w:noProof/>
          <w:sz w:val="20"/>
        </w:rPr>
        <w:t>;</w:t>
      </w:r>
    </w:p>
    <w:p w:rsidR="00E26342" w:rsidRDefault="00040788">
      <w:pPr>
        <w:numPr>
          <w:ilvl w:val="1"/>
          <w:numId w:val="2"/>
        </w:numPr>
        <w:spacing w:after="200"/>
        <w:contextualSpacing/>
        <w:rPr>
          <w:rFonts w:ascii="Arial" w:eastAsia="Calibri" w:hAnsi="Arial" w:cs="Arial"/>
          <w:noProof/>
          <w:sz w:val="20"/>
        </w:rPr>
      </w:pPr>
      <w:r>
        <w:rPr>
          <w:rFonts w:ascii="Arial" w:eastAsia="Calibri" w:hAnsi="Arial" w:cs="Arial"/>
          <w:bCs/>
          <w:noProof/>
          <w:kern w:val="20"/>
          <w:sz w:val="20"/>
        </w:rPr>
        <w:t>Directive on recognition of professional qualifications</w:t>
      </w:r>
      <w:r>
        <w:rPr>
          <w:rStyle w:val="FootnoteReference"/>
          <w:rFonts w:eastAsia="Calibri"/>
          <w:noProof/>
        </w:rPr>
        <w:footnoteReference w:id="13"/>
      </w:r>
      <w:r>
        <w:rPr>
          <w:rFonts w:ascii="Arial" w:eastAsia="Calibri" w:hAnsi="Arial" w:cs="Arial"/>
          <w:bCs/>
          <w:noProof/>
          <w:kern w:val="20"/>
          <w:sz w:val="20"/>
        </w:rPr>
        <w:t>;</w:t>
      </w:r>
    </w:p>
    <w:p w:rsidR="00E26342" w:rsidRDefault="00040788">
      <w:pPr>
        <w:numPr>
          <w:ilvl w:val="1"/>
          <w:numId w:val="2"/>
        </w:numPr>
        <w:spacing w:after="200"/>
        <w:contextualSpacing/>
        <w:rPr>
          <w:rFonts w:ascii="Arial" w:eastAsia="Calibri" w:hAnsi="Arial" w:cs="Arial"/>
          <w:bCs/>
          <w:noProof/>
          <w:kern w:val="20"/>
          <w:sz w:val="20"/>
        </w:rPr>
      </w:pPr>
      <w:r>
        <w:rPr>
          <w:rFonts w:ascii="Arial" w:eastAsia="Calibri" w:hAnsi="Arial" w:cs="Arial"/>
          <w:bCs/>
          <w:noProof/>
          <w:kern w:val="20"/>
          <w:sz w:val="20"/>
        </w:rPr>
        <w:lastRenderedPageBreak/>
        <w:t>Solvency II Directive</w:t>
      </w:r>
      <w:r>
        <w:rPr>
          <w:rStyle w:val="FootnoteReference"/>
          <w:rFonts w:eastAsia="Calibri"/>
          <w:noProof/>
        </w:rPr>
        <w:footnoteReference w:id="14"/>
      </w:r>
      <w:r>
        <w:rPr>
          <w:rFonts w:ascii="Arial" w:eastAsia="Calibri" w:hAnsi="Arial" w:cs="Arial"/>
          <w:bCs/>
          <w:noProof/>
          <w:kern w:val="20"/>
          <w:sz w:val="20"/>
        </w:rPr>
        <w:t>;</w:t>
      </w:r>
    </w:p>
    <w:p w:rsidR="00E26342" w:rsidRDefault="00040788">
      <w:pPr>
        <w:numPr>
          <w:ilvl w:val="1"/>
          <w:numId w:val="2"/>
        </w:numPr>
        <w:spacing w:after="200"/>
        <w:contextualSpacing/>
        <w:rPr>
          <w:rFonts w:ascii="Arial" w:eastAsia="Calibri" w:hAnsi="Arial" w:cs="Arial"/>
          <w:bCs/>
          <w:noProof/>
          <w:kern w:val="20"/>
          <w:sz w:val="20"/>
        </w:rPr>
      </w:pPr>
      <w:r>
        <w:rPr>
          <w:rFonts w:ascii="Arial" w:eastAsia="Calibri" w:hAnsi="Arial" w:cs="Arial"/>
          <w:bCs/>
          <w:noProof/>
          <w:kern w:val="20"/>
          <w:sz w:val="20"/>
        </w:rPr>
        <w:t>Directive on marine equipment</w:t>
      </w:r>
      <w:r>
        <w:rPr>
          <w:rStyle w:val="FootnoteReference"/>
          <w:rFonts w:ascii="Arial" w:eastAsia="Calibri" w:hAnsi="Arial" w:cs="Arial"/>
          <w:bCs/>
          <w:noProof/>
          <w:kern w:val="20"/>
          <w:sz w:val="20"/>
        </w:rPr>
        <w:footnoteReference w:id="15"/>
      </w:r>
      <w:r>
        <w:rPr>
          <w:rFonts w:ascii="Arial" w:eastAsia="Calibri" w:hAnsi="Arial" w:cs="Arial"/>
          <w:bCs/>
          <w:noProof/>
          <w:kern w:val="20"/>
          <w:sz w:val="20"/>
        </w:rPr>
        <w:t>;</w:t>
      </w:r>
    </w:p>
    <w:p w:rsidR="00E26342" w:rsidRDefault="00040788">
      <w:pPr>
        <w:numPr>
          <w:ilvl w:val="1"/>
          <w:numId w:val="2"/>
        </w:numPr>
        <w:spacing w:after="200"/>
        <w:contextualSpacing/>
        <w:rPr>
          <w:rFonts w:ascii="Arial" w:eastAsia="Calibri" w:hAnsi="Arial" w:cs="Arial"/>
          <w:noProof/>
          <w:sz w:val="20"/>
        </w:rPr>
      </w:pPr>
      <w:r>
        <w:rPr>
          <w:rFonts w:ascii="Arial" w:eastAsia="Calibri" w:hAnsi="Arial" w:cs="Arial"/>
          <w:noProof/>
          <w:sz w:val="20"/>
        </w:rPr>
        <w:t>Omnibus II Directive in respect of the powers of the European Insurance and Occupational Pensions Author</w:t>
      </w:r>
      <w:r>
        <w:rPr>
          <w:rFonts w:ascii="Arial" w:eastAsia="Calibri" w:hAnsi="Arial" w:cs="Arial"/>
          <w:noProof/>
          <w:sz w:val="20"/>
        </w:rPr>
        <w:t>ity and the European Securities and Markets Authority</w:t>
      </w:r>
      <w:r>
        <w:rPr>
          <w:rStyle w:val="FootnoteReference"/>
          <w:rFonts w:eastAsia="Calibri"/>
          <w:noProof/>
        </w:rPr>
        <w:footnoteReference w:id="16"/>
      </w:r>
      <w:r>
        <w:rPr>
          <w:rFonts w:ascii="Arial" w:eastAsia="Calibri" w:hAnsi="Arial" w:cs="Arial"/>
          <w:noProof/>
          <w:sz w:val="20"/>
        </w:rPr>
        <w:t>; Transparency Directive</w:t>
      </w:r>
      <w:r>
        <w:rPr>
          <w:rStyle w:val="FootnoteReference"/>
          <w:rFonts w:eastAsia="Calibri"/>
          <w:noProof/>
        </w:rPr>
        <w:footnoteReference w:id="17"/>
      </w:r>
      <w:r>
        <w:rPr>
          <w:rFonts w:ascii="Arial" w:eastAsia="Calibri" w:hAnsi="Arial" w:cs="Arial"/>
          <w:noProof/>
          <w:sz w:val="20"/>
        </w:rPr>
        <w:t>; and Accounting Directive</w:t>
      </w:r>
      <w:r>
        <w:rPr>
          <w:rStyle w:val="FootnoteReference"/>
          <w:rFonts w:eastAsia="Calibri"/>
          <w:noProof/>
        </w:rPr>
        <w:footnoteReference w:id="18"/>
      </w:r>
      <w:r>
        <w:rPr>
          <w:rFonts w:ascii="Arial" w:eastAsia="Calibri" w:hAnsi="Arial" w:cs="Arial"/>
          <w:noProof/>
          <w:sz w:val="20"/>
        </w:rPr>
        <w:t>;</w:t>
      </w:r>
    </w:p>
    <w:p w:rsidR="00E26342" w:rsidRDefault="00040788">
      <w:pPr>
        <w:numPr>
          <w:ilvl w:val="0"/>
          <w:numId w:val="2"/>
        </w:numPr>
        <w:spacing w:after="200"/>
        <w:ind w:left="1418"/>
        <w:contextualSpacing/>
        <w:rPr>
          <w:rFonts w:ascii="Arial" w:eastAsia="Calibri" w:hAnsi="Arial" w:cs="Arial"/>
          <w:noProof/>
          <w:sz w:val="20"/>
        </w:rPr>
      </w:pPr>
      <w:r>
        <w:rPr>
          <w:rFonts w:ascii="Arial" w:eastAsia="Calibri" w:hAnsi="Arial" w:cs="Arial"/>
          <w:noProof/>
          <w:sz w:val="20"/>
        </w:rPr>
        <w:t>non-compliance with the Railway Safety Directive</w:t>
      </w:r>
      <w:r>
        <w:rPr>
          <w:rStyle w:val="FootnoteReference"/>
          <w:rFonts w:ascii="Arial" w:eastAsia="Calibri" w:hAnsi="Arial" w:cs="Arial"/>
          <w:noProof/>
          <w:sz w:val="20"/>
        </w:rPr>
        <w:footnoteReference w:id="19"/>
      </w:r>
      <w:r>
        <w:rPr>
          <w:rFonts w:ascii="Arial" w:eastAsia="Calibri" w:hAnsi="Arial" w:cs="Arial"/>
          <w:noProof/>
          <w:sz w:val="20"/>
        </w:rPr>
        <w:t>;</w:t>
      </w:r>
    </w:p>
    <w:p w:rsidR="00E26342" w:rsidRDefault="00040788">
      <w:pPr>
        <w:numPr>
          <w:ilvl w:val="0"/>
          <w:numId w:val="2"/>
        </w:numPr>
        <w:spacing w:after="200"/>
        <w:ind w:left="1417" w:hanging="357"/>
        <w:rPr>
          <w:rFonts w:ascii="Arial" w:eastAsia="Calibri" w:hAnsi="Arial" w:cs="Arial"/>
          <w:noProof/>
          <w:sz w:val="20"/>
        </w:rPr>
      </w:pPr>
      <w:r>
        <w:rPr>
          <w:rFonts w:ascii="Arial" w:hAnsi="Arial"/>
          <w:noProof/>
          <w:sz w:val="20"/>
        </w:rPr>
        <w:t>incorrect implementation of the Directive on driving licences</w:t>
      </w:r>
      <w:r>
        <w:rPr>
          <w:rStyle w:val="FootnoteReference"/>
          <w:rFonts w:ascii="Arial" w:hAnsi="Arial"/>
          <w:noProof/>
          <w:sz w:val="20"/>
        </w:rPr>
        <w:footnoteReference w:id="20"/>
      </w:r>
      <w:r>
        <w:rPr>
          <w:rFonts w:ascii="Arial" w:hAnsi="Arial"/>
          <w:noProof/>
          <w:sz w:val="20"/>
        </w:rPr>
        <w:t>.</w:t>
      </w:r>
    </w:p>
    <w:p w:rsidR="00E26342" w:rsidRDefault="00040788">
      <w:pPr>
        <w:keepNext/>
        <w:keepLines/>
        <w:numPr>
          <w:ilvl w:val="0"/>
          <w:numId w:val="1"/>
        </w:numPr>
        <w:spacing w:before="360"/>
        <w:ind w:left="709" w:hanging="425"/>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IMPORTANT JUDGMENTS</w:t>
      </w:r>
    </w:p>
    <w:p w:rsidR="00E26342" w:rsidRDefault="00040788">
      <w:pPr>
        <w:pStyle w:val="AnnualReport2"/>
        <w:numPr>
          <w:ilvl w:val="0"/>
          <w:numId w:val="101"/>
        </w:numPr>
        <w:ind w:left="709" w:hanging="425"/>
        <w:rPr>
          <w:noProof/>
        </w:rPr>
      </w:pPr>
      <w:r>
        <w:rPr>
          <w:noProof/>
        </w:rPr>
        <w:t>Court rulings</w:t>
      </w:r>
      <w:r>
        <w:rPr>
          <w:rStyle w:val="FootnoteReference"/>
          <w:noProof/>
        </w:rPr>
        <w:footnoteReference w:id="21"/>
      </w:r>
    </w:p>
    <w:p w:rsidR="00E26342" w:rsidRDefault="00040788">
      <w:pPr>
        <w:pStyle w:val="Body"/>
        <w:rPr>
          <w:noProof/>
          <w:lang w:val="en-GB"/>
        </w:rPr>
      </w:pPr>
      <w:r>
        <w:rPr>
          <w:noProof/>
          <w:lang w:val="en-GB"/>
        </w:rPr>
        <w:t>The Court gave the following rulings.</w:t>
      </w:r>
    </w:p>
    <w:p w:rsidR="00E26342" w:rsidRDefault="00040788">
      <w:pPr>
        <w:pStyle w:val="ListParagraph"/>
        <w:numPr>
          <w:ilvl w:val="0"/>
          <w:numId w:val="31"/>
        </w:numPr>
        <w:ind w:left="1276" w:hanging="425"/>
        <w:rPr>
          <w:rFonts w:ascii="Arial" w:hAnsi="Arial" w:cs="Arial"/>
          <w:noProof/>
          <w:sz w:val="20"/>
        </w:rPr>
      </w:pPr>
      <w:r>
        <w:rPr>
          <w:rFonts w:ascii="Arial" w:hAnsi="Arial" w:cs="Arial"/>
          <w:noProof/>
          <w:sz w:val="20"/>
        </w:rPr>
        <w:t>Contrary to the strict conditions in the VAT Directive on exempting from VAT the services provided by cost-sharing groups</w:t>
      </w:r>
      <w:r>
        <w:rPr>
          <w:rStyle w:val="FootnoteReference"/>
          <w:rFonts w:ascii="Arial" w:hAnsi="Arial" w:cs="Arial"/>
          <w:noProof/>
          <w:sz w:val="20"/>
        </w:rPr>
        <w:footnoteReference w:id="22"/>
      </w:r>
      <w:r>
        <w:rPr>
          <w:rFonts w:ascii="Arial" w:hAnsi="Arial" w:cs="Arial"/>
          <w:noProof/>
          <w:sz w:val="20"/>
        </w:rPr>
        <w:t>, Luxembourgish law allowed the exemption only if the members’ taxed activities did not exceed</w:t>
      </w:r>
      <w:r>
        <w:rPr>
          <w:rFonts w:ascii="Arial" w:hAnsi="Arial" w:cs="Arial"/>
          <w:noProof/>
          <w:sz w:val="20"/>
        </w:rPr>
        <w:t xml:space="preserve"> 30 % (or in some cases 45 %) of their annual turnover. In addition, group members were allowed to deduct the VAT charged to the group on its purchases of goods and services. Lastly, operations by a member in his or her own name but on behalf of the group </w:t>
      </w:r>
      <w:r>
        <w:rPr>
          <w:rFonts w:ascii="Arial" w:hAnsi="Arial" w:cs="Arial"/>
          <w:noProof/>
          <w:sz w:val="20"/>
        </w:rPr>
        <w:t>were regarded as outside the scope of VAT, with national rules considered as incompatible with the VAT Directive by the Court</w:t>
      </w:r>
      <w:r>
        <w:rPr>
          <w:rStyle w:val="FootnoteReference"/>
          <w:rFonts w:ascii="Arial" w:hAnsi="Arial" w:cs="Arial"/>
          <w:noProof/>
          <w:sz w:val="20"/>
        </w:rPr>
        <w:footnoteReference w:id="23"/>
      </w:r>
      <w:r>
        <w:rPr>
          <w:rFonts w:ascii="Arial" w:hAnsi="Arial" w:cs="Arial"/>
          <w:noProof/>
          <w:sz w:val="20"/>
        </w:rPr>
        <w:t>.</w:t>
      </w:r>
    </w:p>
    <w:p w:rsidR="00E26342" w:rsidRDefault="00040788">
      <w:pPr>
        <w:pStyle w:val="ListParagraph"/>
        <w:numPr>
          <w:ilvl w:val="0"/>
          <w:numId w:val="31"/>
        </w:numPr>
        <w:ind w:left="1276" w:hanging="425"/>
        <w:rPr>
          <w:rFonts w:ascii="Arial" w:hAnsi="Arial" w:cs="Arial"/>
          <w:noProof/>
          <w:sz w:val="20"/>
        </w:rPr>
      </w:pPr>
      <w:r>
        <w:rPr>
          <w:rFonts w:ascii="Arial" w:hAnsi="Arial" w:cs="Arial"/>
          <w:noProof/>
          <w:sz w:val="20"/>
        </w:rPr>
        <w:t>As the European Commission did not adopt its financial correction decisions related to the European Regional Development Fund wi</w:t>
      </w:r>
      <w:r>
        <w:rPr>
          <w:rFonts w:ascii="Arial" w:hAnsi="Arial" w:cs="Arial"/>
          <w:noProof/>
          <w:sz w:val="20"/>
        </w:rPr>
        <w:t>thin the six-month deadline indicated in the relevant Regulation these decisions have been annulled on procedural grounds</w:t>
      </w:r>
      <w:r>
        <w:rPr>
          <w:rStyle w:val="FootnoteReference"/>
          <w:rFonts w:ascii="Arial" w:hAnsi="Arial" w:cs="Arial"/>
          <w:noProof/>
          <w:sz w:val="20"/>
        </w:rPr>
        <w:footnoteReference w:id="24"/>
      </w:r>
      <w:r>
        <w:rPr>
          <w:rFonts w:ascii="Arial" w:hAnsi="Arial" w:cs="Arial"/>
          <w:noProof/>
          <w:sz w:val="20"/>
        </w:rPr>
        <w:t>.</w:t>
      </w:r>
    </w:p>
    <w:p w:rsidR="00E26342" w:rsidRDefault="00040788">
      <w:pPr>
        <w:pStyle w:val="AnnualReport2"/>
        <w:numPr>
          <w:ilvl w:val="0"/>
          <w:numId w:val="101"/>
        </w:numPr>
        <w:ind w:left="709" w:hanging="425"/>
        <w:rPr>
          <w:noProof/>
          <w:color w:val="auto"/>
        </w:rPr>
      </w:pPr>
      <w:r>
        <w:rPr>
          <w:noProof/>
          <w:color w:val="auto"/>
        </w:rPr>
        <w:t>Preliminary rulings</w:t>
      </w:r>
    </w:p>
    <w:p w:rsidR="00E26342" w:rsidRDefault="00040788">
      <w:pPr>
        <w:pStyle w:val="Body"/>
        <w:ind w:left="426" w:firstLine="294"/>
        <w:rPr>
          <w:noProof/>
          <w:lang w:val="en-GB"/>
        </w:rPr>
      </w:pPr>
      <w:r>
        <w:rPr>
          <w:noProof/>
          <w:lang w:val="en-GB"/>
        </w:rPr>
        <w:t xml:space="preserve">The Court addressed the following preliminary ruling to the Luxembourgish judiciary. </w:t>
      </w:r>
    </w:p>
    <w:p w:rsidR="00E26342" w:rsidRDefault="00040788">
      <w:pPr>
        <w:numPr>
          <w:ilvl w:val="0"/>
          <w:numId w:val="2"/>
        </w:numPr>
        <w:spacing w:after="200"/>
        <w:ind w:left="1276" w:hanging="425"/>
        <w:contextualSpacing/>
        <w:rPr>
          <w:rFonts w:ascii="Arial" w:eastAsia="Calibri" w:hAnsi="Arial" w:cs="Arial"/>
          <w:noProof/>
          <w:sz w:val="20"/>
        </w:rPr>
      </w:pPr>
      <w:r>
        <w:rPr>
          <w:rFonts w:ascii="Arial" w:hAnsi="Arial" w:cs="Arial"/>
          <w:noProof/>
          <w:sz w:val="20"/>
        </w:rPr>
        <w:t>In the context of informat</w:t>
      </w:r>
      <w:r>
        <w:rPr>
          <w:rFonts w:ascii="Arial" w:hAnsi="Arial" w:cs="Arial"/>
          <w:noProof/>
          <w:sz w:val="20"/>
        </w:rPr>
        <w:t xml:space="preserve">ion exchange between Member States, the right to an effective remedy under the EU Charter of Fundamental Rights requires that the information holder should be able to contest the legality of an information request before a court if it is subject to a fine </w:t>
      </w:r>
      <w:r>
        <w:rPr>
          <w:rFonts w:ascii="Arial" w:hAnsi="Arial" w:cs="Arial"/>
          <w:noProof/>
          <w:sz w:val="20"/>
        </w:rPr>
        <w:t>in case of non-compliance</w:t>
      </w:r>
      <w:r>
        <w:rPr>
          <w:rStyle w:val="FootnoteReference"/>
          <w:rFonts w:ascii="Arial" w:hAnsi="Arial" w:cs="Arial"/>
          <w:noProof/>
          <w:sz w:val="20"/>
        </w:rPr>
        <w:footnoteReference w:id="25"/>
      </w:r>
      <w:r>
        <w:rPr>
          <w:rFonts w:ascii="Arial" w:hAnsi="Arial" w:cs="Arial"/>
          <w:noProof/>
          <w:sz w:val="20"/>
        </w:rPr>
        <w:t>.</w:t>
      </w:r>
    </w:p>
    <w:p w:rsidR="00E26342" w:rsidRDefault="00E26342">
      <w:pPr>
        <w:spacing w:after="0"/>
        <w:jc w:val="left"/>
        <w:rPr>
          <w:noProof/>
        </w:rPr>
      </w:pPr>
    </w:p>
    <w:p w:rsidR="00E26342" w:rsidRDefault="00E26342">
      <w:pPr>
        <w:spacing w:after="0"/>
        <w:jc w:val="left"/>
        <w:rPr>
          <w:noProof/>
        </w:rPr>
        <w:sectPr w:rsidR="00E26342">
          <w:headerReference w:type="even" r:id="rId30"/>
          <w:headerReference w:type="default" r:id="rId31"/>
          <w:footerReference w:type="even" r:id="rId32"/>
          <w:footerReference w:type="default" r:id="rId33"/>
          <w:headerReference w:type="first" r:id="rId34"/>
          <w:footerReference w:type="first" r:id="rId35"/>
          <w:footnotePr>
            <w:numRestart w:val="eachSect"/>
          </w:footnotePr>
          <w:pgSz w:w="11906" w:h="16838"/>
          <w:pgMar w:top="1702" w:right="1417" w:bottom="1134" w:left="1417" w:header="567" w:footer="351" w:gutter="0"/>
          <w:pgNumType w:start="106"/>
          <w:cols w:space="720"/>
          <w:titlePg/>
          <w:docGrid w:linePitch="360"/>
        </w:sectPr>
      </w:pPr>
    </w:p>
    <w:p w:rsidR="00E26342" w:rsidRDefault="00040788">
      <w:pPr>
        <w:pStyle w:val="Heading1"/>
        <w:rPr>
          <w:noProof/>
        </w:rPr>
      </w:pPr>
      <w:bookmarkStart w:id="7" w:name="_Toc444769596"/>
      <w:bookmarkStart w:id="8" w:name="_Toc444772052"/>
      <w:bookmarkStart w:id="9" w:name="_Toc444773371"/>
      <w:bookmarkStart w:id="10" w:name="_Toc444776743"/>
      <w:bookmarkStart w:id="11" w:name="_Toc475974650"/>
      <w:bookmarkStart w:id="12" w:name="_Toc475980146"/>
      <w:bookmarkStart w:id="13" w:name="_Toc475981395"/>
      <w:bookmarkStart w:id="14" w:name="_Toc484622333"/>
      <w:bookmarkStart w:id="15" w:name="_Toc510015282"/>
      <w:bookmarkStart w:id="16" w:name="_Toc475974656"/>
      <w:bookmarkStart w:id="17" w:name="_Toc475980152"/>
      <w:bookmarkStart w:id="18" w:name="_Toc475981401"/>
      <w:r>
        <w:rPr>
          <w:noProof/>
        </w:rPr>
        <w:lastRenderedPageBreak/>
        <w:t>Hungary</w:t>
      </w:r>
      <w:bookmarkEnd w:id="7"/>
      <w:bookmarkEnd w:id="8"/>
      <w:bookmarkEnd w:id="9"/>
      <w:bookmarkEnd w:id="10"/>
      <w:bookmarkEnd w:id="11"/>
      <w:bookmarkEnd w:id="12"/>
      <w:bookmarkEnd w:id="13"/>
      <w:bookmarkEnd w:id="14"/>
      <w:bookmarkEnd w:id="15"/>
    </w:p>
    <w:p w:rsidR="00E26342" w:rsidRDefault="00040788">
      <w:pPr>
        <w:pStyle w:val="kop2"/>
        <w:numPr>
          <w:ilvl w:val="0"/>
          <w:numId w:val="53"/>
        </w:numPr>
        <w:spacing w:before="360" w:after="240"/>
        <w:ind w:left="709" w:hanging="425"/>
        <w:rPr>
          <w:noProof/>
        </w:rPr>
      </w:pPr>
      <w:r>
        <w:rPr>
          <w:noProof/>
        </w:rPr>
        <w:t>COMPLAINTS</w:t>
      </w:r>
    </w:p>
    <w:p w:rsidR="00E26342" w:rsidRDefault="00040788">
      <w:pPr>
        <w:pStyle w:val="AnnualReport2"/>
        <w:numPr>
          <w:ilvl w:val="0"/>
          <w:numId w:val="94"/>
        </w:numPr>
        <w:ind w:left="709" w:hanging="425"/>
        <w:rPr>
          <w:noProof/>
        </w:rPr>
      </w:pPr>
      <w:r>
        <w:rPr>
          <w:noProof/>
        </w:rPr>
        <w:t>New complaints made against Hungary by members of the public (2013-2017)</w:t>
      </w:r>
    </w:p>
    <w:p w:rsidR="00E26342" w:rsidRDefault="00040788">
      <w:pPr>
        <w:ind w:firstLine="709"/>
        <w:rPr>
          <w:rFonts w:ascii="Arial" w:hAnsi="Arial" w:cs="Arial"/>
          <w:noProof/>
          <w:sz w:val="20"/>
        </w:rPr>
      </w:pPr>
      <w:r>
        <w:rPr>
          <w:rFonts w:ascii="Arial" w:hAnsi="Arial" w:cs="Arial"/>
          <w:noProof/>
          <w:sz w:val="20"/>
          <w:lang w:eastAsia="en-GB"/>
        </w:rPr>
        <w:drawing>
          <wp:inline distT="0" distB="0" distL="0" distR="0" wp14:anchorId="60C64CBD" wp14:editId="327AE546">
            <wp:extent cx="4612005" cy="2218690"/>
            <wp:effectExtent l="0" t="0" r="17145" b="10160"/>
            <wp:docPr id="932"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E26342" w:rsidRDefault="00040788">
      <w:pPr>
        <w:pStyle w:val="AnnualReport2"/>
        <w:numPr>
          <w:ilvl w:val="0"/>
          <w:numId w:val="94"/>
        </w:numPr>
        <w:ind w:left="709" w:hanging="425"/>
        <w:rPr>
          <w:noProof/>
        </w:rPr>
      </w:pPr>
      <w:r>
        <w:rPr>
          <w:noProof/>
        </w:rPr>
        <w:t>Public complaints against Hungary open at year-end</w:t>
      </w:r>
    </w:p>
    <w:tbl>
      <w:tblPr>
        <w:tblW w:w="0" w:type="auto"/>
        <w:jc w:val="center"/>
        <w:tblLook w:val="04A0" w:firstRow="1" w:lastRow="0" w:firstColumn="1" w:lastColumn="0" w:noHBand="0" w:noVBand="1"/>
      </w:tblPr>
      <w:tblGrid>
        <w:gridCol w:w="1697"/>
        <w:gridCol w:w="452"/>
        <w:gridCol w:w="5310"/>
      </w:tblGrid>
      <w:tr w:rsidR="00E26342">
        <w:trPr>
          <w:trHeight w:val="403"/>
          <w:jc w:val="center"/>
        </w:trPr>
        <w:tc>
          <w:tcPr>
            <w:tcW w:w="1697" w:type="dxa"/>
            <w:shd w:val="clear" w:color="auto" w:fill="auto"/>
            <w:vAlign w:val="center"/>
          </w:tcPr>
          <w:p w:rsidR="00E26342" w:rsidRDefault="00040788">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65</w:t>
            </w:r>
          </w:p>
        </w:tc>
        <w:tc>
          <w:tcPr>
            <w:tcW w:w="452" w:type="dxa"/>
            <w:shd w:val="clear" w:color="auto" w:fill="auto"/>
            <w:vAlign w:val="center"/>
          </w:tcPr>
          <w:p w:rsidR="00E26342" w:rsidRDefault="00040788">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E26342" w:rsidRDefault="00040788">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Complaints open at end-2016</w:t>
            </w:r>
          </w:p>
        </w:tc>
      </w:tr>
      <w:tr w:rsidR="00E26342">
        <w:trPr>
          <w:trHeight w:val="403"/>
          <w:jc w:val="center"/>
        </w:trPr>
        <w:tc>
          <w:tcPr>
            <w:tcW w:w="1697" w:type="dxa"/>
            <w:shd w:val="clear" w:color="auto" w:fill="auto"/>
            <w:vAlign w:val="center"/>
          </w:tcPr>
          <w:p w:rsidR="00E26342" w:rsidRDefault="00040788">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 xml:space="preserve"> 56</w:t>
            </w:r>
          </w:p>
        </w:tc>
        <w:tc>
          <w:tcPr>
            <w:tcW w:w="452" w:type="dxa"/>
            <w:shd w:val="clear" w:color="auto" w:fill="auto"/>
            <w:vAlign w:val="center"/>
          </w:tcPr>
          <w:p w:rsidR="00E26342" w:rsidRDefault="00040788">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E26342" w:rsidRDefault="00040788">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New complaints registered in 2017</w:t>
            </w:r>
          </w:p>
        </w:tc>
      </w:tr>
      <w:tr w:rsidR="00E26342">
        <w:trPr>
          <w:trHeight w:val="403"/>
          <w:jc w:val="center"/>
        </w:trPr>
        <w:tc>
          <w:tcPr>
            <w:tcW w:w="1697" w:type="dxa"/>
            <w:tcBorders>
              <w:bottom w:val="single" w:sz="24" w:space="0" w:color="548DD4"/>
            </w:tcBorders>
            <w:shd w:val="clear" w:color="auto" w:fill="auto"/>
            <w:vAlign w:val="center"/>
          </w:tcPr>
          <w:p w:rsidR="00E26342" w:rsidRDefault="00040788">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56</w:t>
            </w:r>
          </w:p>
        </w:tc>
        <w:tc>
          <w:tcPr>
            <w:tcW w:w="452" w:type="dxa"/>
            <w:shd w:val="clear" w:color="auto" w:fill="auto"/>
            <w:vAlign w:val="center"/>
          </w:tcPr>
          <w:p w:rsidR="00E26342" w:rsidRDefault="00040788">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E26342" w:rsidRDefault="00040788">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Complaints handled in 2017</w:t>
            </w:r>
          </w:p>
        </w:tc>
      </w:tr>
      <w:tr w:rsidR="00E26342">
        <w:trPr>
          <w:trHeight w:val="403"/>
          <w:jc w:val="center"/>
        </w:trPr>
        <w:tc>
          <w:tcPr>
            <w:tcW w:w="1697" w:type="dxa"/>
            <w:tcBorders>
              <w:top w:val="single" w:sz="24" w:space="0" w:color="548DD4"/>
            </w:tcBorders>
            <w:shd w:val="clear" w:color="auto" w:fill="auto"/>
            <w:vAlign w:val="center"/>
          </w:tcPr>
          <w:p w:rsidR="00E26342" w:rsidRDefault="00040788">
            <w:pPr>
              <w:spacing w:after="0"/>
              <w:jc w:val="right"/>
              <w:rPr>
                <w:rFonts w:ascii="Arial" w:hAnsi="Arial" w:cs="Arial"/>
                <w:noProof/>
                <w:color w:val="C00000"/>
                <w:sz w:val="22"/>
                <w:szCs w:val="28"/>
                <w:lang w:eastAsia="en-GB"/>
              </w:rPr>
            </w:pPr>
            <w:r>
              <w:rPr>
                <w:rFonts w:ascii="Arial" w:hAnsi="Arial" w:cs="Arial"/>
                <w:noProof/>
                <w:color w:val="C00000"/>
                <w:sz w:val="22"/>
                <w:szCs w:val="28"/>
                <w:lang w:eastAsia="en-GB"/>
              </w:rPr>
              <w:t>= 65</w:t>
            </w:r>
          </w:p>
        </w:tc>
        <w:tc>
          <w:tcPr>
            <w:tcW w:w="452" w:type="dxa"/>
            <w:shd w:val="clear" w:color="auto" w:fill="auto"/>
            <w:vAlign w:val="center"/>
          </w:tcPr>
          <w:p w:rsidR="00E26342" w:rsidRDefault="00040788">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E26342" w:rsidRDefault="00040788">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Complaints open at end-2017</w:t>
            </w:r>
          </w:p>
        </w:tc>
      </w:tr>
    </w:tbl>
    <w:p w:rsidR="00E26342" w:rsidRDefault="00040788">
      <w:pPr>
        <w:pStyle w:val="AnnualReport2"/>
        <w:numPr>
          <w:ilvl w:val="0"/>
          <w:numId w:val="94"/>
        </w:numPr>
        <w:ind w:left="709" w:hanging="425"/>
        <w:rPr>
          <w:noProof/>
        </w:rPr>
      </w:pPr>
      <w:r>
        <w:rPr>
          <w:noProof/>
        </w:rPr>
        <w:t>New complaints registered in 2017: main policy areas</w:t>
      </w:r>
    </w:p>
    <w:p w:rsidR="00E26342" w:rsidRDefault="00040788">
      <w:pPr>
        <w:spacing w:after="120"/>
        <w:ind w:firstLine="709"/>
        <w:rPr>
          <w:rFonts w:ascii="Arial" w:hAnsi="Arial" w:cs="Arial"/>
          <w:noProof/>
          <w:sz w:val="20"/>
        </w:rPr>
      </w:pPr>
      <w:r>
        <w:rPr>
          <w:rFonts w:ascii="Arial" w:hAnsi="Arial" w:cs="Arial"/>
          <w:noProof/>
          <w:sz w:val="20"/>
          <w:lang w:eastAsia="en-GB"/>
        </w:rPr>
        <w:drawing>
          <wp:inline distT="0" distB="0" distL="0" distR="0" wp14:anchorId="2FBA7683" wp14:editId="1F614F64">
            <wp:extent cx="4655820" cy="2446020"/>
            <wp:effectExtent l="0" t="0" r="11430" b="11430"/>
            <wp:docPr id="931" name="Grafiek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E26342" w:rsidRDefault="00040788">
      <w:pPr>
        <w:spacing w:after="200" w:line="276" w:lineRule="auto"/>
        <w:jc w:val="left"/>
        <w:rPr>
          <w:noProof/>
        </w:rPr>
      </w:pPr>
      <w:r>
        <w:rPr>
          <w:noProof/>
        </w:rPr>
        <w:br w:type="page"/>
      </w:r>
    </w:p>
    <w:p w:rsidR="00E26342" w:rsidRDefault="00040788">
      <w:pPr>
        <w:pStyle w:val="AnnualReport1"/>
        <w:spacing w:after="240"/>
        <w:ind w:left="709" w:hanging="425"/>
        <w:rPr>
          <w:noProof/>
        </w:rPr>
      </w:pPr>
      <w:r>
        <w:rPr>
          <w:noProof/>
        </w:rPr>
        <w:lastRenderedPageBreak/>
        <w:t>EU PILOT</w:t>
      </w:r>
    </w:p>
    <w:p w:rsidR="00E26342" w:rsidRDefault="00040788">
      <w:pPr>
        <w:pStyle w:val="AnnualReport2"/>
        <w:numPr>
          <w:ilvl w:val="0"/>
          <w:numId w:val="95"/>
        </w:numPr>
        <w:ind w:left="709" w:hanging="425"/>
        <w:rPr>
          <w:noProof/>
        </w:rPr>
      </w:pPr>
      <w:r>
        <w:rPr>
          <w:noProof/>
        </w:rPr>
        <w:t>New EU Pilot files opened against Hungary (2013-2017)</w:t>
      </w:r>
    </w:p>
    <w:p w:rsidR="00E26342" w:rsidRDefault="00040788">
      <w:pPr>
        <w:tabs>
          <w:tab w:val="left" w:pos="0"/>
        </w:tabs>
        <w:ind w:firstLine="709"/>
        <w:rPr>
          <w:rFonts w:ascii="Arial" w:hAnsi="Arial" w:cs="Arial"/>
          <w:noProof/>
          <w:sz w:val="20"/>
        </w:rPr>
      </w:pPr>
      <w:r>
        <w:rPr>
          <w:rFonts w:ascii="Arial" w:hAnsi="Arial" w:cs="Arial"/>
          <w:noProof/>
          <w:sz w:val="20"/>
          <w:lang w:eastAsia="en-GB"/>
        </w:rPr>
        <w:drawing>
          <wp:inline distT="0" distB="0" distL="0" distR="0" wp14:anchorId="732F73F6" wp14:editId="7E808CE3">
            <wp:extent cx="4612005" cy="2051685"/>
            <wp:effectExtent l="0" t="0" r="0" b="0"/>
            <wp:docPr id="930"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26342" w:rsidRDefault="00040788">
      <w:pPr>
        <w:pStyle w:val="AnnualReport2"/>
        <w:numPr>
          <w:ilvl w:val="0"/>
          <w:numId w:val="95"/>
        </w:numPr>
        <w:ind w:left="709" w:hanging="425"/>
        <w:rPr>
          <w:noProof/>
        </w:rPr>
      </w:pPr>
      <w:r>
        <w:rPr>
          <w:noProof/>
        </w:rPr>
        <w:t>Files relating to Hungary open in EU Pilot at year-end</w:t>
      </w:r>
    </w:p>
    <w:p w:rsidR="00E26342" w:rsidRDefault="00040788">
      <w:pPr>
        <w:spacing w:after="120"/>
        <w:ind w:firstLine="709"/>
        <w:rPr>
          <w:rFonts w:ascii="Arial" w:hAnsi="Arial" w:cs="Arial"/>
          <w:noProof/>
          <w:sz w:val="20"/>
        </w:rPr>
      </w:pPr>
      <w:r>
        <w:rPr>
          <w:rFonts w:ascii="Arial" w:hAnsi="Arial" w:cs="Arial"/>
          <w:noProof/>
          <w:sz w:val="20"/>
          <w:lang w:eastAsia="en-GB"/>
        </w:rPr>
        <w:drawing>
          <wp:inline distT="0" distB="0" distL="0" distR="0" wp14:anchorId="24A9EFA8" wp14:editId="265BB801">
            <wp:extent cx="4612005" cy="2051685"/>
            <wp:effectExtent l="0" t="0" r="0" b="0"/>
            <wp:docPr id="929"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E26342" w:rsidRDefault="00040788">
      <w:pPr>
        <w:pStyle w:val="AnnualReport2"/>
        <w:numPr>
          <w:ilvl w:val="0"/>
          <w:numId w:val="95"/>
        </w:numPr>
        <w:ind w:left="709" w:hanging="425"/>
        <w:rPr>
          <w:noProof/>
        </w:rPr>
      </w:pPr>
      <w:r>
        <w:rPr>
          <w:noProof/>
        </w:rPr>
        <w:t xml:space="preserve">New EU Pilot </w:t>
      </w:r>
      <w:r>
        <w:rPr>
          <w:noProof/>
        </w:rPr>
        <w:t>files opened in 2017: policy areas</w:t>
      </w:r>
    </w:p>
    <w:p w:rsidR="00E26342" w:rsidRDefault="00040788">
      <w:pPr>
        <w:spacing w:after="120"/>
        <w:ind w:firstLine="709"/>
        <w:rPr>
          <w:rFonts w:ascii="Arial" w:hAnsi="Arial" w:cs="Arial"/>
          <w:noProof/>
          <w:sz w:val="20"/>
        </w:rPr>
      </w:pPr>
      <w:r>
        <w:rPr>
          <w:rFonts w:ascii="Arial" w:hAnsi="Arial" w:cs="Arial"/>
          <w:noProof/>
          <w:sz w:val="20"/>
          <w:lang w:eastAsia="en-GB"/>
        </w:rPr>
        <w:drawing>
          <wp:inline distT="0" distB="0" distL="0" distR="0" wp14:anchorId="27AECC24" wp14:editId="77DA4961">
            <wp:extent cx="4643755" cy="2305685"/>
            <wp:effectExtent l="0" t="0" r="23495" b="18415"/>
            <wp:docPr id="928" name="Grafiek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E26342" w:rsidRDefault="00040788">
      <w:pPr>
        <w:spacing w:after="0"/>
        <w:jc w:val="left"/>
        <w:rPr>
          <w:rFonts w:ascii="Arial" w:hAnsi="Arial"/>
          <w:noProof/>
          <w:color w:val="002060"/>
          <w:sz w:val="22"/>
          <w:szCs w:val="22"/>
        </w:rPr>
      </w:pPr>
      <w:r>
        <w:rPr>
          <w:noProof/>
        </w:rPr>
        <w:br w:type="page"/>
      </w:r>
    </w:p>
    <w:p w:rsidR="00E26342" w:rsidRDefault="00040788">
      <w:pPr>
        <w:pStyle w:val="AnnualReport2"/>
        <w:numPr>
          <w:ilvl w:val="0"/>
          <w:numId w:val="95"/>
        </w:numPr>
        <w:ind w:left="709" w:hanging="425"/>
        <w:rPr>
          <w:noProof/>
        </w:rPr>
      </w:pPr>
      <w:r>
        <w:rPr>
          <w:noProof/>
        </w:rPr>
        <w:lastRenderedPageBreak/>
        <w:t>EU Pilot files: Hungary’s resolution rate in 2013-2017</w:t>
      </w:r>
    </w:p>
    <w:p w:rsidR="00E26342" w:rsidRDefault="00040788">
      <w:pPr>
        <w:spacing w:after="120"/>
        <w:ind w:firstLine="709"/>
        <w:rPr>
          <w:rFonts w:ascii="Arial" w:hAnsi="Arial" w:cs="Arial"/>
          <w:noProof/>
          <w:sz w:val="20"/>
        </w:rPr>
      </w:pPr>
      <w:r>
        <w:rPr>
          <w:rFonts w:ascii="Arial" w:hAnsi="Arial" w:cs="Arial"/>
          <w:noProof/>
          <w:sz w:val="20"/>
          <w:lang w:eastAsia="en-GB"/>
        </w:rPr>
        <w:drawing>
          <wp:inline distT="0" distB="0" distL="0" distR="0" wp14:anchorId="0C3E194F" wp14:editId="455DA3F8">
            <wp:extent cx="4603750" cy="2218690"/>
            <wp:effectExtent l="0" t="0" r="25400" b="10160"/>
            <wp:docPr id="183"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E26342" w:rsidRDefault="00040788">
      <w:pPr>
        <w:pStyle w:val="AnnualReport1"/>
        <w:spacing w:after="240"/>
        <w:ind w:left="709" w:hanging="425"/>
        <w:rPr>
          <w:noProof/>
        </w:rPr>
      </w:pPr>
      <w:r>
        <w:rPr>
          <w:noProof/>
        </w:rPr>
        <w:t>INFRINGEMENT CASES</w:t>
      </w:r>
    </w:p>
    <w:p w:rsidR="00E26342" w:rsidRDefault="00040788">
      <w:pPr>
        <w:pStyle w:val="AnnualReport2"/>
        <w:numPr>
          <w:ilvl w:val="0"/>
          <w:numId w:val="96"/>
        </w:numPr>
        <w:ind w:left="709" w:hanging="425"/>
        <w:rPr>
          <w:noProof/>
        </w:rPr>
      </w:pPr>
      <w:r>
        <w:rPr>
          <w:noProof/>
        </w:rPr>
        <w:t>Infringement cases against Hungary open on 31 December (2013-2017)</w:t>
      </w:r>
    </w:p>
    <w:p w:rsidR="00E26342" w:rsidRDefault="00040788">
      <w:pPr>
        <w:spacing w:after="120"/>
        <w:ind w:firstLine="709"/>
        <w:rPr>
          <w:rFonts w:ascii="Arial" w:hAnsi="Arial" w:cs="Arial"/>
          <w:noProof/>
          <w:sz w:val="20"/>
        </w:rPr>
      </w:pPr>
      <w:r>
        <w:rPr>
          <w:rFonts w:ascii="Arial" w:hAnsi="Arial" w:cs="Arial"/>
          <w:noProof/>
          <w:sz w:val="20"/>
          <w:lang w:eastAsia="en-GB"/>
        </w:rPr>
        <w:drawing>
          <wp:inline distT="0" distB="0" distL="0" distR="0" wp14:anchorId="34684ABE" wp14:editId="20083936">
            <wp:extent cx="4587875" cy="2154555"/>
            <wp:effectExtent l="0" t="0" r="22225" b="17145"/>
            <wp:docPr id="184" name="Grafiek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E26342" w:rsidRDefault="00040788">
      <w:pPr>
        <w:pStyle w:val="AnnualReport2"/>
        <w:numPr>
          <w:ilvl w:val="0"/>
          <w:numId w:val="96"/>
        </w:numPr>
        <w:ind w:left="709" w:hanging="425"/>
        <w:rPr>
          <w:noProof/>
        </w:rPr>
      </w:pPr>
      <w:r>
        <w:rPr>
          <w:noProof/>
        </w:rPr>
        <w:t>New infringement cases opened in 2017: main policy areas</w:t>
      </w:r>
    </w:p>
    <w:p w:rsidR="00E26342" w:rsidRDefault="00040788">
      <w:pPr>
        <w:spacing w:after="120"/>
        <w:ind w:firstLine="709"/>
        <w:rPr>
          <w:rFonts w:ascii="Arial" w:hAnsi="Arial"/>
          <w:noProof/>
          <w:sz w:val="18"/>
        </w:rPr>
      </w:pPr>
      <w:r>
        <w:rPr>
          <w:rFonts w:ascii="Arial" w:hAnsi="Arial"/>
          <w:noProof/>
          <w:sz w:val="18"/>
          <w:lang w:eastAsia="en-GB"/>
        </w:rPr>
        <w:drawing>
          <wp:inline distT="0" distB="0" distL="0" distR="0" wp14:anchorId="76878C74" wp14:editId="4924350D">
            <wp:extent cx="4587875" cy="2210435"/>
            <wp:effectExtent l="0" t="0" r="22225" b="18415"/>
            <wp:docPr id="185" name="Grafiek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E26342" w:rsidRDefault="00040788">
      <w:pPr>
        <w:spacing w:after="0"/>
        <w:jc w:val="left"/>
        <w:rPr>
          <w:rFonts w:ascii="Arial" w:hAnsi="Arial"/>
          <w:noProof/>
          <w:color w:val="002060"/>
          <w:sz w:val="22"/>
          <w:szCs w:val="22"/>
        </w:rPr>
      </w:pPr>
      <w:r>
        <w:rPr>
          <w:noProof/>
        </w:rPr>
        <w:br w:type="page"/>
      </w:r>
    </w:p>
    <w:p w:rsidR="00E26342" w:rsidRDefault="00040788">
      <w:pPr>
        <w:pStyle w:val="AnnualReport2"/>
        <w:numPr>
          <w:ilvl w:val="0"/>
          <w:numId w:val="96"/>
        </w:numPr>
        <w:ind w:left="709" w:hanging="425"/>
        <w:rPr>
          <w:noProof/>
        </w:rPr>
      </w:pPr>
      <w:r>
        <w:rPr>
          <w:noProof/>
        </w:rPr>
        <w:t xml:space="preserve">Key </w:t>
      </w:r>
      <w:r>
        <w:rPr>
          <w:noProof/>
        </w:rPr>
        <w:t>infringement cases and referrals to the Court</w:t>
      </w:r>
    </w:p>
    <w:p w:rsidR="00E26342" w:rsidRDefault="00040788">
      <w:pPr>
        <w:pStyle w:val="Lijstje"/>
        <w:numPr>
          <w:ilvl w:val="0"/>
          <w:numId w:val="54"/>
        </w:numPr>
        <w:ind w:left="1276" w:hanging="425"/>
        <w:rPr>
          <w:noProof/>
        </w:rPr>
      </w:pPr>
      <w:r>
        <w:rPr>
          <w:noProof/>
        </w:rPr>
        <w:t>The Commission opened 24 new infringement cases against Hungary in 2017. These, and other major ongoing infringement cases, include:</w:t>
      </w:r>
    </w:p>
    <w:p w:rsidR="00E26342" w:rsidRDefault="00040788">
      <w:pPr>
        <w:pStyle w:val="Lijstje"/>
        <w:numPr>
          <w:ilvl w:val="0"/>
          <w:numId w:val="31"/>
        </w:numPr>
        <w:spacing w:after="0"/>
        <w:ind w:left="1843" w:hanging="425"/>
        <w:rPr>
          <w:noProof/>
        </w:rPr>
      </w:pPr>
      <w:r>
        <w:rPr>
          <w:noProof/>
        </w:rPr>
        <w:t>failure to ensure that urban waste water is adequately treated</w:t>
      </w:r>
      <w:r>
        <w:rPr>
          <w:rStyle w:val="FootnoteReference"/>
          <w:noProof/>
        </w:rPr>
        <w:footnoteReference w:id="26"/>
      </w:r>
      <w:r>
        <w:rPr>
          <w:noProof/>
        </w:rPr>
        <w:t>;</w:t>
      </w:r>
    </w:p>
    <w:p w:rsidR="00E26342" w:rsidRDefault="00040788">
      <w:pPr>
        <w:pStyle w:val="Lijstje"/>
        <w:numPr>
          <w:ilvl w:val="0"/>
          <w:numId w:val="31"/>
        </w:numPr>
        <w:spacing w:after="0"/>
        <w:ind w:left="1843" w:hanging="425"/>
        <w:rPr>
          <w:i/>
          <w:noProof/>
        </w:rPr>
      </w:pPr>
      <w:r>
        <w:rPr>
          <w:noProof/>
        </w:rPr>
        <w:t>failure to e</w:t>
      </w:r>
      <w:r>
        <w:rPr>
          <w:noProof/>
        </w:rPr>
        <w:t>stablish strategic noise maps and action plans required by the Noise Directive</w:t>
      </w:r>
      <w:r>
        <w:rPr>
          <w:rStyle w:val="FootnoteReference"/>
          <w:noProof/>
        </w:rPr>
        <w:footnoteReference w:id="27"/>
      </w:r>
      <w:r>
        <w:rPr>
          <w:noProof/>
        </w:rPr>
        <w:t>;</w:t>
      </w:r>
    </w:p>
    <w:p w:rsidR="00E26342" w:rsidRDefault="00040788">
      <w:pPr>
        <w:pStyle w:val="Lijstje"/>
        <w:numPr>
          <w:ilvl w:val="0"/>
          <w:numId w:val="31"/>
        </w:numPr>
        <w:spacing w:after="0"/>
        <w:ind w:left="1843" w:hanging="425"/>
        <w:rPr>
          <w:noProof/>
        </w:rPr>
      </w:pPr>
      <w:r>
        <w:rPr>
          <w:noProof/>
        </w:rPr>
        <w:t xml:space="preserve">failure </w:t>
      </w:r>
      <w:r>
        <w:rPr>
          <w:bCs/>
          <w:noProof/>
        </w:rPr>
        <w:t>to carry out analysis of the relevant telecom markets on time</w:t>
      </w:r>
      <w:r>
        <w:rPr>
          <w:rStyle w:val="FootnoteReference"/>
          <w:noProof/>
        </w:rPr>
        <w:footnoteReference w:id="28"/>
      </w:r>
      <w:r>
        <w:rPr>
          <w:bCs/>
          <w:noProof/>
        </w:rPr>
        <w:t>;</w:t>
      </w:r>
    </w:p>
    <w:p w:rsidR="00E26342" w:rsidRDefault="00040788">
      <w:pPr>
        <w:pStyle w:val="Lijstje"/>
        <w:numPr>
          <w:ilvl w:val="0"/>
          <w:numId w:val="31"/>
        </w:numPr>
        <w:spacing w:after="0"/>
        <w:ind w:left="1843" w:hanging="425"/>
        <w:rPr>
          <w:noProof/>
        </w:rPr>
      </w:pPr>
      <w:r>
        <w:rPr>
          <w:noProof/>
        </w:rPr>
        <w:t xml:space="preserve">incorrect transposition and implementation of the Third Energy Package Directives (Electricity and Gas </w:t>
      </w:r>
      <w:r>
        <w:rPr>
          <w:noProof/>
        </w:rPr>
        <w:t>Directives)</w:t>
      </w:r>
      <w:r>
        <w:rPr>
          <w:rStyle w:val="FootnoteReference"/>
          <w:noProof/>
        </w:rPr>
        <w:footnoteReference w:id="29"/>
      </w:r>
      <w:r>
        <w:rPr>
          <w:noProof/>
        </w:rPr>
        <w:t xml:space="preserve">; </w:t>
      </w:r>
    </w:p>
    <w:p w:rsidR="00E26342" w:rsidRDefault="00040788">
      <w:pPr>
        <w:pStyle w:val="Lijstje"/>
        <w:numPr>
          <w:ilvl w:val="0"/>
          <w:numId w:val="31"/>
        </w:numPr>
        <w:spacing w:after="0"/>
        <w:ind w:left="1843" w:hanging="425"/>
        <w:rPr>
          <w:noProof/>
        </w:rPr>
      </w:pPr>
      <w:r>
        <w:rPr>
          <w:noProof/>
        </w:rPr>
        <w:t xml:space="preserve">incompatibility of the Hungarian law on foreign-funded civil society organisations with the free movement of capital, right to freedom of association and the rights to protection of private life and personal data enshrined in the EU Charter </w:t>
      </w:r>
      <w:r>
        <w:rPr>
          <w:noProof/>
        </w:rPr>
        <w:t>of Fundamental Rights</w:t>
      </w:r>
      <w:r>
        <w:rPr>
          <w:rStyle w:val="FootnoteReference"/>
          <w:noProof/>
        </w:rPr>
        <w:footnoteReference w:id="30"/>
      </w:r>
      <w:r>
        <w:rPr>
          <w:noProof/>
        </w:rPr>
        <w:t>;</w:t>
      </w:r>
    </w:p>
    <w:p w:rsidR="00E26342" w:rsidRDefault="00040788">
      <w:pPr>
        <w:pStyle w:val="Lijstje"/>
        <w:numPr>
          <w:ilvl w:val="0"/>
          <w:numId w:val="31"/>
        </w:numPr>
        <w:spacing w:after="0"/>
        <w:ind w:left="1843" w:hanging="425"/>
        <w:rPr>
          <w:noProof/>
        </w:rPr>
      </w:pPr>
      <w:r>
        <w:rPr>
          <w:noProof/>
        </w:rPr>
        <w:t>violation of EU law by amendments of the Hungarian Higher Education Act, by restricting EU and non-EU universities in their operations</w:t>
      </w:r>
      <w:r>
        <w:rPr>
          <w:rStyle w:val="FootnoteReference"/>
          <w:noProof/>
        </w:rPr>
        <w:footnoteReference w:id="31"/>
      </w:r>
      <w:r>
        <w:rPr>
          <w:noProof/>
        </w:rPr>
        <w:t>;</w:t>
      </w:r>
    </w:p>
    <w:p w:rsidR="00E26342" w:rsidRDefault="00040788">
      <w:pPr>
        <w:pStyle w:val="Lijstje"/>
        <w:numPr>
          <w:ilvl w:val="0"/>
          <w:numId w:val="31"/>
        </w:numPr>
        <w:spacing w:after="0"/>
        <w:ind w:left="1843" w:hanging="425"/>
        <w:rPr>
          <w:noProof/>
        </w:rPr>
      </w:pPr>
      <w:r>
        <w:rPr>
          <w:noProof/>
        </w:rPr>
        <w:t xml:space="preserve">non-compliance with the obligations under the 2015 Council Decisions on relocation of migrants </w:t>
      </w:r>
      <w:r>
        <w:rPr>
          <w:noProof/>
        </w:rPr>
        <w:t>from Greece and Italy</w:t>
      </w:r>
      <w:r>
        <w:rPr>
          <w:rStyle w:val="FootnoteReference"/>
          <w:noProof/>
        </w:rPr>
        <w:footnoteReference w:id="32"/>
      </w:r>
      <w:r>
        <w:rPr>
          <w:noProof/>
        </w:rPr>
        <w:t>;</w:t>
      </w:r>
    </w:p>
    <w:p w:rsidR="00E26342" w:rsidRDefault="00040788">
      <w:pPr>
        <w:pStyle w:val="Lijstje"/>
        <w:numPr>
          <w:ilvl w:val="0"/>
          <w:numId w:val="31"/>
        </w:numPr>
        <w:spacing w:after="0"/>
        <w:ind w:left="1843" w:hanging="425"/>
        <w:rPr>
          <w:noProof/>
        </w:rPr>
      </w:pPr>
      <w:r>
        <w:rPr>
          <w:noProof/>
        </w:rPr>
        <w:t xml:space="preserve">incorrect implementation of the EU asylum and migration </w:t>
      </w:r>
      <w:r>
        <w:rPr>
          <w:i/>
          <w:noProof/>
        </w:rPr>
        <w:t>acquis</w:t>
      </w:r>
      <w:r>
        <w:rPr>
          <w:rStyle w:val="FootnoteReference"/>
          <w:noProof/>
        </w:rPr>
        <w:footnoteReference w:id="33"/>
      </w:r>
      <w:r>
        <w:rPr>
          <w:noProof/>
        </w:rPr>
        <w:t>;</w:t>
      </w:r>
    </w:p>
    <w:p w:rsidR="00E26342" w:rsidRDefault="00040788">
      <w:pPr>
        <w:pStyle w:val="Lijstje"/>
        <w:numPr>
          <w:ilvl w:val="0"/>
          <w:numId w:val="31"/>
        </w:numPr>
        <w:spacing w:after="0"/>
        <w:ind w:left="1843" w:hanging="425"/>
        <w:rPr>
          <w:noProof/>
        </w:rPr>
      </w:pPr>
      <w:r>
        <w:rPr>
          <w:noProof/>
        </w:rPr>
        <w:t>cash control, proportionality of national fines</w:t>
      </w:r>
      <w:r>
        <w:rPr>
          <w:rStyle w:val="FootnoteReference"/>
          <w:noProof/>
        </w:rPr>
        <w:footnoteReference w:id="34"/>
      </w:r>
      <w:r>
        <w:rPr>
          <w:noProof/>
        </w:rPr>
        <w:t>;</w:t>
      </w:r>
    </w:p>
    <w:p w:rsidR="00E26342" w:rsidRDefault="00040788">
      <w:pPr>
        <w:pStyle w:val="Lijstje"/>
        <w:numPr>
          <w:ilvl w:val="0"/>
          <w:numId w:val="31"/>
        </w:numPr>
        <w:ind w:left="1843" w:hanging="425"/>
        <w:rPr>
          <w:noProof/>
        </w:rPr>
      </w:pPr>
      <w:r>
        <w:rPr>
          <w:noProof/>
        </w:rPr>
        <w:t>excessive reporting obligations on businesses under the Electronic Road Cargo Monitoring System which may violate the</w:t>
      </w:r>
      <w:r>
        <w:rPr>
          <w:noProof/>
        </w:rPr>
        <w:t xml:space="preserve"> equal treatment of intra-EU and domestic transports.</w:t>
      </w:r>
    </w:p>
    <w:p w:rsidR="00E26342" w:rsidRDefault="00040788">
      <w:pPr>
        <w:pStyle w:val="Lijstje"/>
        <w:numPr>
          <w:ilvl w:val="0"/>
          <w:numId w:val="54"/>
        </w:numPr>
        <w:ind w:left="1276" w:hanging="425"/>
        <w:rPr>
          <w:noProof/>
        </w:rPr>
      </w:pPr>
      <w:r>
        <w:rPr>
          <w:noProof/>
        </w:rPr>
        <w:t>The Commission referred three cases to the Court under Article 258 TFEU. They concern the following.</w:t>
      </w:r>
    </w:p>
    <w:p w:rsidR="00E26342" w:rsidRDefault="00040788">
      <w:pPr>
        <w:pStyle w:val="Lijstje"/>
        <w:numPr>
          <w:ilvl w:val="0"/>
          <w:numId w:val="31"/>
        </w:numPr>
        <w:spacing w:after="0"/>
        <w:ind w:left="1843" w:hanging="425"/>
        <w:rPr>
          <w:noProof/>
        </w:rPr>
      </w:pPr>
      <w:r>
        <w:rPr>
          <w:noProof/>
        </w:rPr>
        <w:t>Non-compliance with the obligations under the 2015 Council Decisions on relocation of migrants from G</w:t>
      </w:r>
      <w:r>
        <w:rPr>
          <w:noProof/>
        </w:rPr>
        <w:t>reece and Italy</w:t>
      </w:r>
      <w:r>
        <w:rPr>
          <w:rStyle w:val="FootnoteReference"/>
          <w:noProof/>
        </w:rPr>
        <w:footnoteReference w:id="35"/>
      </w:r>
      <w:r>
        <w:rPr>
          <w:noProof/>
        </w:rPr>
        <w:t>.</w:t>
      </w:r>
    </w:p>
    <w:p w:rsidR="00E26342" w:rsidRDefault="00040788">
      <w:pPr>
        <w:pStyle w:val="Lijstje"/>
        <w:numPr>
          <w:ilvl w:val="0"/>
          <w:numId w:val="31"/>
        </w:numPr>
        <w:spacing w:after="0"/>
        <w:ind w:left="1843" w:hanging="425"/>
        <w:rPr>
          <w:noProof/>
        </w:rPr>
      </w:pPr>
      <w:r>
        <w:rPr>
          <w:noProof/>
        </w:rPr>
        <w:t xml:space="preserve">The termination of so-called ‘usufruct rights’ — contracts giving the right to use a property and to profit from it — held by investors in Hungary, especially on agricultural land. The measure deprived both foreign and domestic investors </w:t>
      </w:r>
      <w:r>
        <w:rPr>
          <w:noProof/>
        </w:rPr>
        <w:t>of their acquired rights and of the value of their investments without providing them with compensation. The law cut the original 20-year transitional period down to four and a half months, which is too short to give investors the opportunity to adapt to t</w:t>
      </w:r>
      <w:r>
        <w:rPr>
          <w:noProof/>
        </w:rPr>
        <w:t>he new legal environment and deprives them of their acquired rights. The measure may fail to ensure legal certainty and respect of the right to property (protected by the EU Charter of Fundamental Rights). It may also violate the principles of free movemen</w:t>
      </w:r>
      <w:r>
        <w:rPr>
          <w:noProof/>
        </w:rPr>
        <w:t>t of capital and freedom of establishment</w:t>
      </w:r>
      <w:r>
        <w:rPr>
          <w:rStyle w:val="FootnoteReference"/>
          <w:noProof/>
        </w:rPr>
        <w:footnoteReference w:id="36"/>
      </w:r>
      <w:r>
        <w:rPr>
          <w:noProof/>
        </w:rPr>
        <w:t>.</w:t>
      </w:r>
    </w:p>
    <w:p w:rsidR="00E26342" w:rsidRDefault="00040788">
      <w:pPr>
        <w:pStyle w:val="Lijstje"/>
        <w:numPr>
          <w:ilvl w:val="0"/>
          <w:numId w:val="31"/>
        </w:numPr>
        <w:ind w:left="1843" w:hanging="425"/>
        <w:rPr>
          <w:noProof/>
        </w:rPr>
      </w:pPr>
      <w:r>
        <w:rPr>
          <w:noProof/>
        </w:rPr>
        <w:t>Imposition of excessive and unjustified obstacles to cross-border activities by granting an exclusive right to a single operator to provide a service</w:t>
      </w:r>
      <w:r>
        <w:rPr>
          <w:rStyle w:val="FootnoteReference"/>
          <w:noProof/>
        </w:rPr>
        <w:footnoteReference w:id="37"/>
      </w:r>
      <w:r>
        <w:rPr>
          <w:noProof/>
        </w:rPr>
        <w:t>.</w:t>
      </w:r>
    </w:p>
    <w:p w:rsidR="00E26342" w:rsidRDefault="00040788">
      <w:pPr>
        <w:pStyle w:val="Lijstje"/>
        <w:numPr>
          <w:ilvl w:val="0"/>
          <w:numId w:val="54"/>
        </w:numPr>
        <w:spacing w:before="120"/>
        <w:ind w:left="1276" w:hanging="425"/>
        <w:rPr>
          <w:noProof/>
        </w:rPr>
      </w:pPr>
      <w:r>
        <w:rPr>
          <w:noProof/>
        </w:rPr>
        <w:t>The Commission did not refer any cases to the Court under Ar</w:t>
      </w:r>
      <w:r>
        <w:rPr>
          <w:noProof/>
        </w:rPr>
        <w:t>ticle 260(2) TFEU.</w:t>
      </w:r>
    </w:p>
    <w:p w:rsidR="00E26342" w:rsidRDefault="00040788">
      <w:pPr>
        <w:spacing w:after="200" w:line="276" w:lineRule="auto"/>
        <w:jc w:val="left"/>
        <w:rPr>
          <w:rFonts w:ascii="Arial" w:eastAsia="MS Gothic" w:hAnsi="Arial" w:cs="Arial"/>
          <w:caps/>
          <w:noProof/>
          <w:color w:val="4F81BD"/>
          <w:kern w:val="20"/>
          <w:szCs w:val="24"/>
        </w:rPr>
      </w:pPr>
      <w:r>
        <w:rPr>
          <w:rFonts w:ascii="Arial" w:eastAsia="MS Gothic" w:hAnsi="Arial" w:cs="Arial"/>
          <w:caps/>
          <w:noProof/>
          <w:color w:val="4F81BD"/>
          <w:kern w:val="20"/>
          <w:szCs w:val="24"/>
        </w:rPr>
        <w:br w:type="page"/>
      </w:r>
    </w:p>
    <w:p w:rsidR="00E26342" w:rsidRDefault="00040788">
      <w:pPr>
        <w:pStyle w:val="AnnualReport1"/>
        <w:spacing w:before="0" w:after="240"/>
        <w:ind w:left="709" w:hanging="425"/>
        <w:rPr>
          <w:noProof/>
        </w:rPr>
      </w:pPr>
      <w:r>
        <w:rPr>
          <w:noProof/>
        </w:rPr>
        <w:t>TRANSPOSITION OF DIRECTIVES</w:t>
      </w:r>
    </w:p>
    <w:p w:rsidR="00E26342" w:rsidRDefault="00040788">
      <w:pPr>
        <w:pStyle w:val="AnnualReport2"/>
        <w:numPr>
          <w:ilvl w:val="0"/>
          <w:numId w:val="97"/>
        </w:numPr>
        <w:ind w:left="709" w:hanging="425"/>
        <w:rPr>
          <w:noProof/>
        </w:rPr>
      </w:pPr>
      <w:r>
        <w:rPr>
          <w:noProof/>
        </w:rPr>
        <w:t>Late transposition infringement cases against Hungary open on 31 December (2013-2017)</w:t>
      </w:r>
    </w:p>
    <w:p w:rsidR="00E26342" w:rsidRDefault="00040788">
      <w:pPr>
        <w:ind w:left="426" w:firstLine="283"/>
        <w:rPr>
          <w:noProof/>
        </w:rPr>
      </w:pPr>
      <w:r>
        <w:rPr>
          <w:noProof/>
          <w:lang w:eastAsia="en-GB"/>
        </w:rPr>
        <w:drawing>
          <wp:inline distT="0" distB="0" distL="0" distR="0" wp14:anchorId="0D1417C1" wp14:editId="56E00D65">
            <wp:extent cx="4563745" cy="2289810"/>
            <wp:effectExtent l="0" t="0" r="27305" b="15240"/>
            <wp:docPr id="186"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E26342" w:rsidRDefault="00040788">
      <w:pPr>
        <w:pStyle w:val="AnnualReport2"/>
        <w:numPr>
          <w:ilvl w:val="0"/>
          <w:numId w:val="97"/>
        </w:numPr>
        <w:ind w:left="709" w:hanging="425"/>
        <w:rPr>
          <w:noProof/>
        </w:rPr>
      </w:pPr>
      <w:r>
        <w:rPr>
          <w:noProof/>
        </w:rPr>
        <w:t>New late transposition infringement cases against Hungary (2013-2017)</w:t>
      </w:r>
    </w:p>
    <w:p w:rsidR="00E26342" w:rsidRDefault="00040788">
      <w:pPr>
        <w:spacing w:after="120"/>
        <w:ind w:firstLine="709"/>
        <w:rPr>
          <w:rFonts w:ascii="Arial" w:hAnsi="Arial" w:cs="Arial"/>
          <w:noProof/>
          <w:sz w:val="20"/>
        </w:rPr>
      </w:pPr>
      <w:r>
        <w:rPr>
          <w:rFonts w:ascii="Arial" w:hAnsi="Arial" w:cs="Arial"/>
          <w:noProof/>
          <w:sz w:val="20"/>
          <w:lang w:eastAsia="en-GB"/>
        </w:rPr>
        <w:drawing>
          <wp:inline distT="0" distB="0" distL="0" distR="0" wp14:anchorId="6C6EC410" wp14:editId="70649AFC">
            <wp:extent cx="4563745" cy="2170430"/>
            <wp:effectExtent l="0" t="0" r="27305" b="20320"/>
            <wp:docPr id="187"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E26342" w:rsidRDefault="00040788">
      <w:pPr>
        <w:pStyle w:val="AnnualReport2"/>
        <w:numPr>
          <w:ilvl w:val="0"/>
          <w:numId w:val="97"/>
        </w:numPr>
        <w:ind w:left="709" w:hanging="425"/>
        <w:rPr>
          <w:noProof/>
        </w:rPr>
      </w:pPr>
      <w:r>
        <w:rPr>
          <w:noProof/>
        </w:rPr>
        <w:t>New late transposition infringement cases opene</w:t>
      </w:r>
      <w:r>
        <w:rPr>
          <w:noProof/>
        </w:rPr>
        <w:t>d in 2017: main policy areas</w:t>
      </w:r>
    </w:p>
    <w:p w:rsidR="00E26342" w:rsidRDefault="00040788">
      <w:pPr>
        <w:ind w:firstLine="709"/>
        <w:rPr>
          <w:rFonts w:ascii="Arial" w:hAnsi="Arial" w:cs="Arial"/>
          <w:noProof/>
          <w:sz w:val="20"/>
        </w:rPr>
      </w:pPr>
      <w:r>
        <w:rPr>
          <w:rFonts w:ascii="Arial" w:hAnsi="Arial" w:cs="Arial"/>
          <w:noProof/>
          <w:sz w:val="20"/>
          <w:lang w:eastAsia="en-GB"/>
        </w:rPr>
        <w:drawing>
          <wp:inline distT="0" distB="0" distL="0" distR="0" wp14:anchorId="5E9ABB71" wp14:editId="7115CEAA">
            <wp:extent cx="4596130" cy="2417445"/>
            <wp:effectExtent l="0" t="0" r="13970" b="20955"/>
            <wp:docPr id="188" name="Grafiek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E26342" w:rsidRDefault="00040788">
      <w:pPr>
        <w:pStyle w:val="AnnualReport2"/>
        <w:numPr>
          <w:ilvl w:val="0"/>
          <w:numId w:val="97"/>
        </w:numPr>
        <w:ind w:left="709" w:hanging="425"/>
        <w:rPr>
          <w:rFonts w:cs="Arial"/>
          <w:noProof/>
        </w:rPr>
      </w:pPr>
      <w:r>
        <w:rPr>
          <w:noProof/>
        </w:rPr>
        <w:t xml:space="preserve">Referrals to the </w:t>
      </w:r>
      <w:r>
        <w:rPr>
          <w:rFonts w:cs="Arial"/>
          <w:noProof/>
        </w:rPr>
        <w:t>Court</w:t>
      </w:r>
    </w:p>
    <w:p w:rsidR="00E26342" w:rsidRDefault="00040788">
      <w:pPr>
        <w:spacing w:after="120"/>
        <w:ind w:left="709"/>
        <w:rPr>
          <w:rFonts w:ascii="Arial" w:eastAsia="Calibri" w:hAnsi="Arial" w:cs="Arial"/>
          <w:noProof/>
          <w:kern w:val="20"/>
          <w:sz w:val="20"/>
        </w:rPr>
      </w:pPr>
      <w:r>
        <w:rPr>
          <w:rFonts w:ascii="Arial" w:eastAsia="Calibri" w:hAnsi="Arial" w:cs="Arial"/>
          <w:noProof/>
          <w:kern w:val="20"/>
          <w:sz w:val="20"/>
        </w:rPr>
        <w:t>The Commission did not refer any cases to the Court under Articles 258 and 260(3) TFEU.</w:t>
      </w:r>
    </w:p>
    <w:p w:rsidR="00E26342" w:rsidRDefault="00040788">
      <w:pPr>
        <w:pStyle w:val="AnnualReport1"/>
        <w:spacing w:after="240"/>
        <w:ind w:left="709" w:hanging="425"/>
        <w:rPr>
          <w:noProof/>
        </w:rPr>
      </w:pPr>
      <w:r>
        <w:rPr>
          <w:noProof/>
        </w:rPr>
        <w:t>EARLY RESOLUTION OF INFRINGEMENT CASES</w:t>
      </w:r>
    </w:p>
    <w:p w:rsidR="00E26342" w:rsidRDefault="00040788">
      <w:pPr>
        <w:spacing w:after="60"/>
        <w:ind w:left="786" w:hanging="77"/>
        <w:jc w:val="left"/>
        <w:outlineLvl w:val="1"/>
        <w:rPr>
          <w:rFonts w:ascii="Arial" w:hAnsi="Arial" w:cs="Arial"/>
          <w:noProof/>
          <w:color w:val="002060"/>
          <w:sz w:val="22"/>
          <w:szCs w:val="22"/>
        </w:rPr>
      </w:pPr>
      <w:r>
        <w:rPr>
          <w:rFonts w:ascii="Arial" w:hAnsi="Arial" w:cs="Arial"/>
          <w:noProof/>
          <w:color w:val="002060"/>
          <w:sz w:val="22"/>
          <w:szCs w:val="22"/>
        </w:rPr>
        <w:t>Major cases closed without a Court judgment in 2017</w:t>
      </w:r>
    </w:p>
    <w:p w:rsidR="00E26342" w:rsidRDefault="00040788">
      <w:pPr>
        <w:spacing w:before="120" w:after="120"/>
        <w:ind w:firstLine="709"/>
        <w:rPr>
          <w:rFonts w:ascii="Arial" w:hAnsi="Arial" w:cs="Arial"/>
          <w:noProof/>
          <w:sz w:val="20"/>
        </w:rPr>
      </w:pPr>
      <w:r>
        <w:rPr>
          <w:rFonts w:ascii="Arial" w:hAnsi="Arial" w:cs="Arial"/>
          <w:noProof/>
          <w:sz w:val="20"/>
        </w:rPr>
        <w:t>These concerned:</w:t>
      </w:r>
    </w:p>
    <w:p w:rsidR="00E26342" w:rsidRDefault="00040788">
      <w:pPr>
        <w:numPr>
          <w:ilvl w:val="0"/>
          <w:numId w:val="2"/>
        </w:numPr>
        <w:spacing w:after="0"/>
        <w:ind w:left="1276" w:hanging="425"/>
        <w:rPr>
          <w:rFonts w:ascii="Arial" w:eastAsia="Calibri" w:hAnsi="Arial" w:cs="Arial"/>
          <w:noProof/>
          <w:kern w:val="20"/>
          <w:sz w:val="20"/>
        </w:rPr>
      </w:pPr>
      <w:r>
        <w:rPr>
          <w:rFonts w:ascii="Arial" w:eastAsia="Calibri" w:hAnsi="Arial" w:cs="Arial"/>
          <w:noProof/>
          <w:kern w:val="20"/>
          <w:sz w:val="20"/>
        </w:rPr>
        <w:t>conformity with the Working Time Directive</w:t>
      </w:r>
      <w:r>
        <w:rPr>
          <w:rStyle w:val="FootnoteReference"/>
          <w:rFonts w:ascii="Arial" w:eastAsia="Calibri" w:hAnsi="Arial" w:cs="Arial"/>
          <w:noProof/>
          <w:kern w:val="20"/>
          <w:sz w:val="20"/>
        </w:rPr>
        <w:footnoteReference w:id="38"/>
      </w:r>
      <w:r>
        <w:rPr>
          <w:rFonts w:ascii="Arial" w:eastAsia="Calibri" w:hAnsi="Arial" w:cs="Arial"/>
          <w:noProof/>
          <w:kern w:val="20"/>
          <w:sz w:val="20"/>
        </w:rPr>
        <w:t xml:space="preserve"> by amending the rules applying to workers working on regular passenger transport services, regular inter-urban short-distance public transport services and uninterrupted transport services;</w:t>
      </w:r>
    </w:p>
    <w:p w:rsidR="00E26342" w:rsidRDefault="00040788">
      <w:pPr>
        <w:numPr>
          <w:ilvl w:val="0"/>
          <w:numId w:val="2"/>
        </w:numPr>
        <w:spacing w:after="0"/>
        <w:ind w:left="1276" w:hanging="425"/>
        <w:rPr>
          <w:rFonts w:ascii="Arial" w:eastAsia="Calibri" w:hAnsi="Arial" w:cs="Arial"/>
          <w:noProof/>
          <w:kern w:val="20"/>
          <w:sz w:val="20"/>
        </w:rPr>
      </w:pPr>
      <w:r>
        <w:rPr>
          <w:rFonts w:ascii="Arial" w:eastAsia="Calibri" w:hAnsi="Arial" w:cs="Arial"/>
          <w:noProof/>
          <w:kern w:val="20"/>
          <w:sz w:val="20"/>
        </w:rPr>
        <w:t>non-communication of n</w:t>
      </w:r>
      <w:r>
        <w:rPr>
          <w:rFonts w:ascii="Arial" w:eastAsia="Calibri" w:hAnsi="Arial" w:cs="Arial"/>
          <w:noProof/>
          <w:kern w:val="20"/>
          <w:sz w:val="20"/>
        </w:rPr>
        <w:t>ational measures transposing the:</w:t>
      </w:r>
    </w:p>
    <w:p w:rsidR="00E26342" w:rsidRDefault="00040788">
      <w:pPr>
        <w:numPr>
          <w:ilvl w:val="1"/>
          <w:numId w:val="2"/>
        </w:numPr>
        <w:spacing w:after="0"/>
        <w:ind w:left="1843" w:hanging="403"/>
        <w:rPr>
          <w:rFonts w:ascii="Arial" w:eastAsia="Calibri" w:hAnsi="Arial" w:cs="Arial"/>
          <w:noProof/>
          <w:kern w:val="20"/>
          <w:sz w:val="20"/>
        </w:rPr>
      </w:pPr>
      <w:r>
        <w:rPr>
          <w:rFonts w:ascii="Arial" w:eastAsia="Calibri" w:hAnsi="Arial" w:cs="Arial"/>
          <w:noProof/>
          <w:kern w:val="20"/>
          <w:sz w:val="20"/>
        </w:rPr>
        <w:t>Transparency Directive</w:t>
      </w:r>
      <w:r>
        <w:rPr>
          <w:rStyle w:val="FootnoteReference"/>
          <w:rFonts w:eastAsia="Calibri"/>
          <w:noProof/>
        </w:rPr>
        <w:footnoteReference w:id="39"/>
      </w:r>
      <w:r>
        <w:rPr>
          <w:rFonts w:ascii="Arial" w:eastAsia="Calibri" w:hAnsi="Arial" w:cs="Arial"/>
          <w:noProof/>
          <w:kern w:val="20"/>
          <w:sz w:val="20"/>
        </w:rPr>
        <w:t>;</w:t>
      </w:r>
    </w:p>
    <w:p w:rsidR="00E26342" w:rsidRDefault="00040788">
      <w:pPr>
        <w:numPr>
          <w:ilvl w:val="1"/>
          <w:numId w:val="2"/>
        </w:numPr>
        <w:spacing w:after="0"/>
        <w:ind w:left="1843" w:hanging="403"/>
        <w:rPr>
          <w:rFonts w:ascii="Arial" w:eastAsia="Calibri" w:hAnsi="Arial" w:cs="Arial"/>
          <w:noProof/>
          <w:sz w:val="20"/>
        </w:rPr>
      </w:pPr>
      <w:r>
        <w:rPr>
          <w:rFonts w:ascii="Arial" w:eastAsia="Calibri" w:hAnsi="Arial" w:cs="Arial"/>
          <w:noProof/>
          <w:kern w:val="20"/>
          <w:sz w:val="20"/>
        </w:rPr>
        <w:t>Directive laying down calculation methods and reporting requirements</w:t>
      </w:r>
      <w:r>
        <w:rPr>
          <w:rStyle w:val="FootnoteReference"/>
          <w:rFonts w:ascii="Arial" w:eastAsia="Calibri" w:hAnsi="Arial" w:cs="Arial"/>
          <w:noProof/>
          <w:sz w:val="20"/>
        </w:rPr>
        <w:footnoteReference w:id="40"/>
      </w:r>
      <w:r>
        <w:rPr>
          <w:rFonts w:ascii="Arial" w:eastAsia="Calibri" w:hAnsi="Arial" w:cs="Arial"/>
          <w:noProof/>
          <w:sz w:val="20"/>
        </w:rPr>
        <w:t xml:space="preserve"> pursuant to a Directive relating to the quality of petrol and diesel fuels</w:t>
      </w:r>
      <w:r>
        <w:rPr>
          <w:rStyle w:val="FootnoteReference"/>
          <w:rFonts w:ascii="Arial" w:eastAsia="Calibri" w:hAnsi="Arial" w:cs="Arial"/>
          <w:noProof/>
          <w:sz w:val="20"/>
        </w:rPr>
        <w:footnoteReference w:id="41"/>
      </w:r>
      <w:r>
        <w:rPr>
          <w:rFonts w:ascii="Arial" w:eastAsia="Calibri" w:hAnsi="Arial" w:cs="Arial"/>
          <w:noProof/>
          <w:sz w:val="20"/>
        </w:rPr>
        <w:t>.</w:t>
      </w:r>
    </w:p>
    <w:p w:rsidR="00E26342" w:rsidRDefault="00040788">
      <w:pPr>
        <w:pStyle w:val="AnnualReport1"/>
        <w:spacing w:after="240"/>
        <w:ind w:left="709" w:hanging="425"/>
        <w:rPr>
          <w:noProof/>
        </w:rPr>
      </w:pPr>
      <w:r>
        <w:rPr>
          <w:noProof/>
        </w:rPr>
        <w:t>IMPORTANT JUDGMENTS</w:t>
      </w:r>
    </w:p>
    <w:p w:rsidR="00E26342" w:rsidRDefault="00040788">
      <w:pPr>
        <w:pStyle w:val="AnnualReport2"/>
        <w:numPr>
          <w:ilvl w:val="0"/>
          <w:numId w:val="98"/>
        </w:numPr>
        <w:ind w:left="709" w:hanging="425"/>
        <w:rPr>
          <w:rFonts w:cs="Arial"/>
          <w:noProof/>
        </w:rPr>
      </w:pPr>
      <w:r>
        <w:rPr>
          <w:rFonts w:cs="Arial"/>
          <w:noProof/>
        </w:rPr>
        <w:t>Court rulings</w:t>
      </w:r>
      <w:r>
        <w:rPr>
          <w:rStyle w:val="FootnoteReference"/>
          <w:rFonts w:cs="Arial"/>
          <w:noProof/>
        </w:rPr>
        <w:footnoteReference w:id="42"/>
      </w:r>
    </w:p>
    <w:p w:rsidR="00E26342" w:rsidRDefault="00040788">
      <w:pPr>
        <w:spacing w:after="120"/>
        <w:ind w:firstLine="709"/>
        <w:rPr>
          <w:rFonts w:ascii="Arial" w:hAnsi="Arial" w:cs="Arial"/>
          <w:noProof/>
          <w:sz w:val="20"/>
        </w:rPr>
      </w:pPr>
      <w:r>
        <w:rPr>
          <w:rFonts w:ascii="Arial" w:hAnsi="Arial" w:cs="Arial"/>
          <w:noProof/>
          <w:sz w:val="20"/>
        </w:rPr>
        <w:t xml:space="preserve">The Court gave </w:t>
      </w:r>
      <w:r>
        <w:rPr>
          <w:rFonts w:ascii="Arial" w:hAnsi="Arial" w:cs="Arial"/>
          <w:noProof/>
          <w:sz w:val="20"/>
        </w:rPr>
        <w:t>the following rulings.</w:t>
      </w:r>
    </w:p>
    <w:p w:rsidR="00E26342" w:rsidRDefault="00040788">
      <w:pPr>
        <w:pStyle w:val="Lijstje2"/>
        <w:ind w:left="1276" w:hanging="425"/>
        <w:rPr>
          <w:rFonts w:ascii="Arial" w:hAnsi="Arial" w:cs="Arial"/>
          <w:noProof/>
          <w:lang w:val="en-GB"/>
        </w:rPr>
      </w:pPr>
      <w:r>
        <w:rPr>
          <w:rFonts w:ascii="Arial" w:hAnsi="Arial" w:cs="Arial"/>
          <w:noProof/>
          <w:lang w:val="en-GB"/>
        </w:rPr>
        <w:t>The requirement to hold Hungarian nationality in order to exercise as a notary constitutes discrimination based on nationality prohibited by the Treaty</w:t>
      </w:r>
      <w:r>
        <w:rPr>
          <w:rStyle w:val="FootnoteReference"/>
          <w:rFonts w:ascii="Arial" w:hAnsi="Arial" w:cs="Arial"/>
          <w:noProof/>
          <w:lang w:val="en-GB"/>
        </w:rPr>
        <w:footnoteReference w:id="43"/>
      </w:r>
      <w:r>
        <w:rPr>
          <w:rFonts w:ascii="Arial" w:hAnsi="Arial" w:cs="Arial"/>
          <w:noProof/>
          <w:lang w:val="en-GB"/>
        </w:rPr>
        <w:t>.</w:t>
      </w:r>
    </w:p>
    <w:p w:rsidR="00E26342" w:rsidRDefault="00040788">
      <w:pPr>
        <w:pStyle w:val="Lijstje2"/>
        <w:ind w:left="1276" w:hanging="425"/>
        <w:rPr>
          <w:rFonts w:ascii="Arial" w:hAnsi="Arial" w:cs="Arial"/>
          <w:noProof/>
          <w:lang w:val="en-GB"/>
        </w:rPr>
      </w:pPr>
      <w:r>
        <w:rPr>
          <w:rFonts w:ascii="Arial" w:hAnsi="Arial" w:cs="Arial"/>
          <w:noProof/>
          <w:lang w:val="en-GB"/>
        </w:rPr>
        <w:t>The provisional mechanism for the mandatory relocation of asylum seekers set up</w:t>
      </w:r>
      <w:r>
        <w:rPr>
          <w:rFonts w:ascii="Arial" w:hAnsi="Arial" w:cs="Arial"/>
          <w:noProof/>
          <w:lang w:val="en-GB"/>
        </w:rPr>
        <w:t xml:space="preserve"> by the 2015 Council Decisions on relocation of migrants from Greece and Italy is valid</w:t>
      </w:r>
      <w:r>
        <w:rPr>
          <w:rStyle w:val="FootnoteReference"/>
          <w:noProof/>
          <w:lang w:val="en-GB"/>
        </w:rPr>
        <w:footnoteReference w:id="44"/>
      </w:r>
      <w:r>
        <w:rPr>
          <w:rFonts w:ascii="Arial" w:hAnsi="Arial" w:cs="Arial"/>
          <w:noProof/>
          <w:lang w:val="en-GB"/>
        </w:rPr>
        <w:t>. The Court dismissed the actions for annulment brought by Hungary and Slovakia</w:t>
      </w:r>
      <w:r>
        <w:rPr>
          <w:rStyle w:val="FootnoteReference"/>
          <w:rFonts w:ascii="Arial" w:hAnsi="Arial" w:cs="Arial"/>
          <w:noProof/>
          <w:lang w:val="en-GB"/>
        </w:rPr>
        <w:footnoteReference w:id="45"/>
      </w:r>
      <w:r>
        <w:rPr>
          <w:rFonts w:ascii="Arial" w:hAnsi="Arial" w:cs="Arial"/>
          <w:noProof/>
          <w:lang w:val="en-GB"/>
        </w:rPr>
        <w:t>.</w:t>
      </w:r>
    </w:p>
    <w:p w:rsidR="00E26342" w:rsidRDefault="00040788">
      <w:pPr>
        <w:pStyle w:val="Lijstje2"/>
        <w:ind w:left="1276" w:hanging="425"/>
        <w:rPr>
          <w:rFonts w:ascii="Arial" w:hAnsi="Arial" w:cs="Arial"/>
          <w:noProof/>
          <w:lang w:val="en-GB"/>
        </w:rPr>
      </w:pPr>
      <w:r>
        <w:rPr>
          <w:rFonts w:ascii="Arial" w:hAnsi="Arial" w:cs="Arial"/>
          <w:noProof/>
          <w:lang w:val="en-GB"/>
        </w:rPr>
        <w:t>Hungary accepted a General Court declaration that there was no need to adjudicate on H</w:t>
      </w:r>
      <w:r>
        <w:rPr>
          <w:rFonts w:ascii="Arial" w:hAnsi="Arial" w:cs="Arial"/>
          <w:noProof/>
          <w:lang w:val="en-GB"/>
        </w:rPr>
        <w:t>ungary’s action against the Commission Decision to suspend part of the interim payments from the European Regional Development Fund and the Cohesion Fund for expenditure in the national transport programme and seven regional programmes. The Commission susp</w:t>
      </w:r>
      <w:r>
        <w:rPr>
          <w:rFonts w:ascii="Arial" w:hAnsi="Arial" w:cs="Arial"/>
          <w:noProof/>
          <w:lang w:val="en-GB"/>
        </w:rPr>
        <w:t>ended the payments on the grounds that Hungary had used discriminatory selection criteria in the public procurement procedures for the vast majority of contracts funded by these programmes. The irregular criteria concerned the location of asphalt plants us</w:t>
      </w:r>
      <w:r>
        <w:rPr>
          <w:rFonts w:ascii="Arial" w:hAnsi="Arial" w:cs="Arial"/>
          <w:noProof/>
          <w:lang w:val="en-GB"/>
        </w:rPr>
        <w:t>ed for road construction. They were considered in breach of the principle of free provision of services by favouring Hungarian tenderers</w:t>
      </w:r>
      <w:r>
        <w:rPr>
          <w:rStyle w:val="FootnoteReference"/>
          <w:rFonts w:ascii="Arial" w:hAnsi="Arial" w:cs="Arial"/>
          <w:noProof/>
          <w:lang w:val="en-GB"/>
        </w:rPr>
        <w:footnoteReference w:id="46"/>
      </w:r>
      <w:r>
        <w:rPr>
          <w:rFonts w:ascii="Arial" w:hAnsi="Arial" w:cs="Arial"/>
          <w:noProof/>
          <w:lang w:val="en-GB"/>
        </w:rPr>
        <w:t>.</w:t>
      </w:r>
    </w:p>
    <w:p w:rsidR="00E26342" w:rsidRDefault="00040788">
      <w:pPr>
        <w:pStyle w:val="AnnualReport2"/>
        <w:numPr>
          <w:ilvl w:val="0"/>
          <w:numId w:val="98"/>
        </w:numPr>
        <w:ind w:left="709" w:hanging="425"/>
        <w:rPr>
          <w:rFonts w:cs="Arial"/>
          <w:noProof/>
        </w:rPr>
      </w:pPr>
      <w:r>
        <w:rPr>
          <w:rFonts w:cs="Arial"/>
          <w:noProof/>
        </w:rPr>
        <w:t>Preliminary rulings</w:t>
      </w:r>
    </w:p>
    <w:p w:rsidR="00E26342" w:rsidRDefault="00040788">
      <w:pPr>
        <w:pStyle w:val="Body"/>
        <w:ind w:left="786" w:firstLine="0"/>
        <w:rPr>
          <w:noProof/>
          <w:lang w:val="en-GB"/>
        </w:rPr>
      </w:pPr>
      <w:r>
        <w:rPr>
          <w:noProof/>
          <w:lang w:val="en-GB"/>
        </w:rPr>
        <w:t>The Court addressed the following preliminary rulings to the Hungarian judiciary.</w:t>
      </w:r>
    </w:p>
    <w:p w:rsidR="00E26342" w:rsidRDefault="00040788">
      <w:pPr>
        <w:pStyle w:val="Lijstje2"/>
        <w:ind w:left="1276" w:hanging="425"/>
        <w:rPr>
          <w:rFonts w:ascii="Arial" w:hAnsi="Arial" w:cs="Arial"/>
          <w:noProof/>
          <w:lang w:val="en-GB"/>
        </w:rPr>
      </w:pPr>
      <w:r>
        <w:rPr>
          <w:rFonts w:ascii="Arial" w:hAnsi="Arial" w:cs="Arial"/>
          <w:noProof/>
          <w:lang w:val="en-GB"/>
        </w:rPr>
        <w:t xml:space="preserve">The Hungarian </w:t>
      </w:r>
      <w:r>
        <w:rPr>
          <w:rFonts w:ascii="Arial" w:hAnsi="Arial" w:cs="Arial"/>
          <w:noProof/>
          <w:lang w:val="en-GB"/>
        </w:rPr>
        <w:t>legislation prohibiting the organisation of games of chance without a licence violates the freedom to provide services. The requirement of having provided such services in Hungary for at least 10 years constitutes discrimination</w:t>
      </w:r>
      <w:r>
        <w:rPr>
          <w:rStyle w:val="FootnoteReference"/>
          <w:noProof/>
        </w:rPr>
        <w:footnoteReference w:id="47"/>
      </w:r>
      <w:r>
        <w:rPr>
          <w:rFonts w:ascii="Arial" w:hAnsi="Arial" w:cs="Arial"/>
          <w:noProof/>
          <w:lang w:val="en-GB"/>
        </w:rPr>
        <w:t>.</w:t>
      </w:r>
    </w:p>
    <w:p w:rsidR="00E26342" w:rsidRDefault="00040788">
      <w:pPr>
        <w:pStyle w:val="Lijstje2"/>
        <w:ind w:left="1276" w:hanging="425"/>
        <w:rPr>
          <w:rFonts w:ascii="Arial" w:hAnsi="Arial" w:cs="Arial"/>
          <w:i/>
          <w:noProof/>
          <w:lang w:val="en-GB"/>
        </w:rPr>
      </w:pPr>
      <w:r>
        <w:rPr>
          <w:rFonts w:ascii="Arial" w:hAnsi="Arial" w:cs="Arial"/>
          <w:noProof/>
          <w:lang w:val="en-GB"/>
        </w:rPr>
        <w:t xml:space="preserve">National legislation </w:t>
      </w:r>
      <w:r>
        <w:rPr>
          <w:rFonts w:ascii="Arial" w:hAnsi="Arial" w:cs="Arial"/>
          <w:noProof/>
          <w:lang w:val="en-GB"/>
        </w:rPr>
        <w:t>which provides that users and owners of land on which unlawful pollution was produced are jointly responsible for the environmental damage is not contrary to EU law. It is not necessary for this purpose to establish a causal link between the conduct of the</w:t>
      </w:r>
      <w:r>
        <w:rPr>
          <w:rFonts w:ascii="Arial" w:hAnsi="Arial" w:cs="Arial"/>
          <w:noProof/>
          <w:lang w:val="en-GB"/>
        </w:rPr>
        <w:t xml:space="preserve"> land owners and the damage established, provided that such legislation complies with the principles and provisions of EU law. It is also allowed by EU law to provide in national legislation that owners of land on which unlawful pollution has been produced</w:t>
      </w:r>
      <w:r>
        <w:rPr>
          <w:rFonts w:ascii="Arial" w:hAnsi="Arial" w:cs="Arial"/>
          <w:noProof/>
          <w:lang w:val="en-GB"/>
        </w:rPr>
        <w:t xml:space="preserve"> may be subject to fines, provided such legislation is appropriate for attaining the objective of more stringent protection and the methods for determining the amount of the fine do not go beyond what is necessary to attain that objective</w:t>
      </w:r>
      <w:r>
        <w:rPr>
          <w:rStyle w:val="FootnoteReference"/>
          <w:rFonts w:ascii="Arial" w:hAnsi="Arial" w:cs="Arial"/>
          <w:noProof/>
          <w:lang w:val="en-GB"/>
        </w:rPr>
        <w:footnoteReference w:id="48"/>
      </w:r>
      <w:r>
        <w:rPr>
          <w:rFonts w:ascii="Arial" w:hAnsi="Arial" w:cs="Arial"/>
          <w:noProof/>
          <w:lang w:val="en-GB"/>
        </w:rPr>
        <w:t>.</w:t>
      </w:r>
    </w:p>
    <w:p w:rsidR="00E26342" w:rsidRDefault="00040788">
      <w:pPr>
        <w:pStyle w:val="Lijstje2"/>
        <w:ind w:left="1276" w:hanging="425"/>
        <w:rPr>
          <w:rFonts w:ascii="Arial" w:hAnsi="Arial" w:cs="Arial"/>
          <w:noProof/>
          <w:lang w:val="en-GB"/>
        </w:rPr>
      </w:pPr>
      <w:r>
        <w:rPr>
          <w:rFonts w:ascii="Arial" w:hAnsi="Arial" w:cs="Arial"/>
          <w:noProof/>
          <w:lang w:val="en-GB"/>
        </w:rPr>
        <w:t>Under the Direc</w:t>
      </w:r>
      <w:r>
        <w:rPr>
          <w:rFonts w:ascii="Arial" w:hAnsi="Arial" w:cs="Arial"/>
          <w:noProof/>
          <w:lang w:val="en-GB"/>
        </w:rPr>
        <w:t xml:space="preserve">tive </w:t>
      </w:r>
      <w:r>
        <w:rPr>
          <w:rStyle w:val="Strong"/>
          <w:rFonts w:ascii="Arial" w:hAnsi="Arial" w:cs="Arial"/>
          <w:b w:val="0"/>
          <w:noProof/>
          <w:lang w:val="en-GB"/>
        </w:rPr>
        <w:t>on the charging of heavy goods vehicles for the use of certain infrastructures</w:t>
      </w:r>
      <w:r>
        <w:rPr>
          <w:rStyle w:val="FootnoteReference"/>
          <w:rFonts w:ascii="Arial" w:hAnsi="Arial" w:cs="Arial"/>
          <w:bCs/>
          <w:noProof/>
          <w:lang w:val="en-GB"/>
        </w:rPr>
        <w:footnoteReference w:id="49"/>
      </w:r>
      <w:r>
        <w:rPr>
          <w:rStyle w:val="Strong"/>
          <w:rFonts w:ascii="Arial" w:hAnsi="Arial" w:cs="Arial"/>
          <w:b w:val="0"/>
          <w:noProof/>
          <w:lang w:val="en-GB"/>
        </w:rPr>
        <w:t>, t</w:t>
      </w:r>
      <w:r>
        <w:rPr>
          <w:rFonts w:ascii="Arial" w:hAnsi="Arial" w:cs="Arial"/>
          <w:noProof/>
          <w:lang w:val="en-GB"/>
        </w:rPr>
        <w:t>he requirement of proportionality is not met by a system of penalties providing for the imposition of a flat-rate fine for all offences, whatever their gravity, under th</w:t>
      </w:r>
      <w:r>
        <w:rPr>
          <w:rFonts w:ascii="Arial" w:hAnsi="Arial" w:cs="Arial"/>
          <w:noProof/>
          <w:lang w:val="en-GB"/>
        </w:rPr>
        <w:t>e rules on the obligation to make prior payment of a road toll. T</w:t>
      </w:r>
      <w:r>
        <w:rPr>
          <w:rStyle w:val="Strong"/>
          <w:rFonts w:ascii="Arial" w:hAnsi="Arial" w:cs="Arial"/>
          <w:b w:val="0"/>
          <w:noProof/>
          <w:lang w:val="en-GB"/>
        </w:rPr>
        <w:t>he requirement of proportionality</w:t>
      </w:r>
      <w:r>
        <w:rPr>
          <w:rStyle w:val="Strong"/>
          <w:noProof/>
          <w:lang w:val="en-GB"/>
        </w:rPr>
        <w:t xml:space="preserve"> </w:t>
      </w:r>
      <w:r>
        <w:rPr>
          <w:rFonts w:ascii="Arial" w:hAnsi="Arial" w:cs="Arial"/>
          <w:noProof/>
          <w:lang w:val="en-GB"/>
        </w:rPr>
        <w:t>does not preclude a system of penalties which institutes strict liability but does preclude the level of penalty provided for by Hungary’s system</w:t>
      </w:r>
      <w:r>
        <w:rPr>
          <w:rStyle w:val="FootnoteReference"/>
          <w:rFonts w:ascii="Arial" w:hAnsi="Arial" w:cs="Arial"/>
          <w:noProof/>
          <w:lang w:val="en-GB"/>
        </w:rPr>
        <w:footnoteReference w:id="50"/>
      </w:r>
      <w:r>
        <w:rPr>
          <w:rFonts w:ascii="Arial" w:hAnsi="Arial" w:cs="Arial"/>
          <w:noProof/>
          <w:lang w:val="en-GB"/>
        </w:rPr>
        <w:t>.</w:t>
      </w:r>
    </w:p>
    <w:p w:rsidR="00E26342" w:rsidRDefault="00E26342">
      <w:pPr>
        <w:spacing w:after="0"/>
        <w:jc w:val="left"/>
        <w:rPr>
          <w:noProof/>
        </w:rPr>
        <w:sectPr w:rsidR="00E26342">
          <w:headerReference w:type="even" r:id="rId47"/>
          <w:headerReference w:type="default" r:id="rId48"/>
          <w:footerReference w:type="even" r:id="rId49"/>
          <w:footerReference w:type="default" r:id="rId50"/>
          <w:headerReference w:type="first" r:id="rId51"/>
          <w:footerReference w:type="first" r:id="rId52"/>
          <w:footnotePr>
            <w:numRestart w:val="eachSect"/>
          </w:footnotePr>
          <w:pgSz w:w="11906" w:h="16838"/>
          <w:pgMar w:top="1702" w:right="1417" w:bottom="1134" w:left="1417" w:header="567" w:footer="351" w:gutter="0"/>
          <w:cols w:space="708"/>
          <w:titlePg/>
          <w:docGrid w:linePitch="360"/>
        </w:sectPr>
      </w:pPr>
    </w:p>
    <w:p w:rsidR="00E26342" w:rsidRDefault="00040788">
      <w:pPr>
        <w:pStyle w:val="Heading1"/>
        <w:rPr>
          <w:noProof/>
        </w:rPr>
      </w:pPr>
      <w:bookmarkStart w:id="19" w:name="_Toc484622334"/>
      <w:bookmarkStart w:id="20" w:name="_Toc510015283"/>
      <w:r>
        <w:rPr>
          <w:noProof/>
        </w:rPr>
        <w:t>Malta</w:t>
      </w:r>
      <w:bookmarkEnd w:id="16"/>
      <w:bookmarkEnd w:id="17"/>
      <w:bookmarkEnd w:id="18"/>
      <w:bookmarkEnd w:id="19"/>
      <w:bookmarkEnd w:id="20"/>
    </w:p>
    <w:p w:rsidR="00E26342" w:rsidRDefault="00040788">
      <w:pPr>
        <w:pStyle w:val="kop2"/>
        <w:numPr>
          <w:ilvl w:val="0"/>
          <w:numId w:val="55"/>
        </w:numPr>
        <w:spacing w:before="360" w:after="240"/>
        <w:ind w:left="709" w:hanging="425"/>
        <w:rPr>
          <w:noProof/>
        </w:rPr>
      </w:pPr>
      <w:r>
        <w:rPr>
          <w:noProof/>
        </w:rPr>
        <w:t>COMPLAINTS</w:t>
      </w:r>
    </w:p>
    <w:p w:rsidR="00E26342" w:rsidRDefault="00040788">
      <w:pPr>
        <w:pStyle w:val="Subtitle"/>
        <w:rPr>
          <w:noProof/>
        </w:rPr>
      </w:pPr>
      <w:r>
        <w:rPr>
          <w:noProof/>
        </w:rPr>
        <w:t>New complaints made against Malta by members of the public (2013-2017)</w:t>
      </w:r>
    </w:p>
    <w:p w:rsidR="00E26342" w:rsidRDefault="00040788">
      <w:pPr>
        <w:ind w:firstLine="709"/>
        <w:rPr>
          <w:rFonts w:ascii="Arial" w:hAnsi="Arial" w:cs="Arial"/>
          <w:noProof/>
          <w:sz w:val="20"/>
        </w:rPr>
      </w:pPr>
      <w:r>
        <w:rPr>
          <w:rFonts w:ascii="Arial" w:hAnsi="Arial" w:cs="Arial"/>
          <w:noProof/>
          <w:sz w:val="20"/>
          <w:lang w:eastAsia="en-GB"/>
        </w:rPr>
        <w:drawing>
          <wp:inline distT="0" distB="0" distL="0" distR="0" wp14:anchorId="6CA6502F" wp14:editId="435F01A7">
            <wp:extent cx="4580255" cy="2210435"/>
            <wp:effectExtent l="0" t="0" r="0" b="0"/>
            <wp:docPr id="189"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E26342" w:rsidRDefault="00040788">
      <w:pPr>
        <w:pStyle w:val="Subtitle"/>
        <w:rPr>
          <w:noProof/>
        </w:rPr>
      </w:pPr>
      <w:r>
        <w:rPr>
          <w:noProof/>
        </w:rPr>
        <w:t>Public complaints against Malta open at year-end</w:t>
      </w:r>
    </w:p>
    <w:tbl>
      <w:tblPr>
        <w:tblW w:w="0" w:type="auto"/>
        <w:jc w:val="center"/>
        <w:tblLook w:val="04A0" w:firstRow="1" w:lastRow="0" w:firstColumn="1" w:lastColumn="0" w:noHBand="0" w:noVBand="1"/>
      </w:tblPr>
      <w:tblGrid>
        <w:gridCol w:w="1697"/>
        <w:gridCol w:w="452"/>
        <w:gridCol w:w="5310"/>
      </w:tblGrid>
      <w:tr w:rsidR="00E26342">
        <w:trPr>
          <w:trHeight w:val="403"/>
          <w:jc w:val="center"/>
        </w:trPr>
        <w:tc>
          <w:tcPr>
            <w:tcW w:w="1697" w:type="dxa"/>
            <w:shd w:val="clear" w:color="auto" w:fill="auto"/>
            <w:vAlign w:val="center"/>
          </w:tcPr>
          <w:p w:rsidR="00E26342" w:rsidRDefault="00040788">
            <w:pPr>
              <w:spacing w:after="0"/>
              <w:jc w:val="right"/>
              <w:rPr>
                <w:rFonts w:ascii="Arial" w:hAnsi="Arial" w:cs="Arial"/>
                <w:noProof/>
                <w:color w:val="548DD4"/>
                <w:sz w:val="22"/>
                <w:szCs w:val="22"/>
                <w:lang w:eastAsia="en-GB"/>
              </w:rPr>
            </w:pPr>
            <w:r>
              <w:rPr>
                <w:rFonts w:ascii="Arial" w:hAnsi="Arial" w:cs="Arial"/>
                <w:noProof/>
                <w:color w:val="548DD4"/>
                <w:sz w:val="22"/>
                <w:szCs w:val="22"/>
                <w:lang w:eastAsia="en-GB"/>
              </w:rPr>
              <w:t>25</w:t>
            </w:r>
          </w:p>
        </w:tc>
        <w:tc>
          <w:tcPr>
            <w:tcW w:w="452" w:type="dxa"/>
            <w:shd w:val="clear" w:color="auto" w:fill="auto"/>
            <w:vAlign w:val="center"/>
          </w:tcPr>
          <w:p w:rsidR="00E26342" w:rsidRDefault="00040788">
            <w:pPr>
              <w:spacing w:after="0"/>
              <w:jc w:val="right"/>
              <w:rPr>
                <w:rFonts w:ascii="Arial" w:hAnsi="Arial" w:cs="Arial"/>
                <w:noProof/>
                <w:color w:val="548DD4"/>
                <w:sz w:val="22"/>
                <w:szCs w:val="22"/>
                <w:lang w:eastAsia="en-GB"/>
              </w:rPr>
            </w:pPr>
            <w:r>
              <w:rPr>
                <w:rFonts w:ascii="Arial" w:hAnsi="Arial" w:cs="Arial"/>
                <w:noProof/>
                <w:color w:val="548DD4"/>
                <w:sz w:val="22"/>
                <w:szCs w:val="22"/>
                <w:lang w:eastAsia="en-GB"/>
              </w:rPr>
              <w:t>&gt;</w:t>
            </w:r>
          </w:p>
        </w:tc>
        <w:tc>
          <w:tcPr>
            <w:tcW w:w="5310" w:type="dxa"/>
            <w:shd w:val="clear" w:color="auto" w:fill="auto"/>
            <w:vAlign w:val="center"/>
          </w:tcPr>
          <w:p w:rsidR="00E26342" w:rsidRDefault="00040788">
            <w:pPr>
              <w:spacing w:after="0"/>
              <w:jc w:val="left"/>
              <w:rPr>
                <w:rFonts w:ascii="Arial" w:hAnsi="Arial" w:cs="Arial"/>
                <w:noProof/>
                <w:color w:val="548DD4"/>
                <w:sz w:val="22"/>
                <w:szCs w:val="22"/>
                <w:lang w:eastAsia="en-GB"/>
              </w:rPr>
            </w:pPr>
            <w:r>
              <w:rPr>
                <w:rFonts w:ascii="Arial" w:hAnsi="Arial" w:cs="Arial"/>
                <w:noProof/>
                <w:color w:val="548DD4"/>
                <w:sz w:val="22"/>
                <w:szCs w:val="22"/>
                <w:lang w:eastAsia="en-GB"/>
              </w:rPr>
              <w:t>Complaints open at end-2016</w:t>
            </w:r>
          </w:p>
        </w:tc>
      </w:tr>
      <w:tr w:rsidR="00E26342">
        <w:trPr>
          <w:trHeight w:val="403"/>
          <w:jc w:val="center"/>
        </w:trPr>
        <w:tc>
          <w:tcPr>
            <w:tcW w:w="1697" w:type="dxa"/>
            <w:shd w:val="clear" w:color="auto" w:fill="auto"/>
            <w:vAlign w:val="center"/>
          </w:tcPr>
          <w:p w:rsidR="00E26342" w:rsidRDefault="00040788">
            <w:pPr>
              <w:spacing w:after="0"/>
              <w:jc w:val="right"/>
              <w:rPr>
                <w:rFonts w:ascii="Arial" w:hAnsi="Arial" w:cs="Arial"/>
                <w:noProof/>
                <w:color w:val="548DD4"/>
                <w:sz w:val="22"/>
                <w:szCs w:val="22"/>
                <w:lang w:eastAsia="en-GB"/>
              </w:rPr>
            </w:pPr>
            <w:r>
              <w:rPr>
                <w:rFonts w:ascii="Arial" w:hAnsi="Arial" w:cs="Arial"/>
                <w:noProof/>
                <w:color w:val="548DD4"/>
                <w:sz w:val="22"/>
                <w:szCs w:val="22"/>
                <w:lang w:eastAsia="en-GB"/>
              </w:rPr>
              <w:t>32</w:t>
            </w:r>
          </w:p>
        </w:tc>
        <w:tc>
          <w:tcPr>
            <w:tcW w:w="452" w:type="dxa"/>
            <w:shd w:val="clear" w:color="auto" w:fill="auto"/>
            <w:vAlign w:val="center"/>
          </w:tcPr>
          <w:p w:rsidR="00E26342" w:rsidRDefault="00040788">
            <w:pPr>
              <w:spacing w:after="0"/>
              <w:jc w:val="right"/>
              <w:rPr>
                <w:rFonts w:ascii="Arial" w:hAnsi="Arial" w:cs="Arial"/>
                <w:noProof/>
                <w:color w:val="548DD4"/>
                <w:sz w:val="22"/>
                <w:szCs w:val="22"/>
                <w:lang w:eastAsia="en-GB"/>
              </w:rPr>
            </w:pPr>
            <w:r>
              <w:rPr>
                <w:rFonts w:ascii="Arial" w:hAnsi="Arial" w:cs="Arial"/>
                <w:noProof/>
                <w:color w:val="548DD4"/>
                <w:sz w:val="22"/>
                <w:szCs w:val="22"/>
                <w:lang w:eastAsia="en-GB"/>
              </w:rPr>
              <w:t>&gt;</w:t>
            </w:r>
          </w:p>
        </w:tc>
        <w:tc>
          <w:tcPr>
            <w:tcW w:w="5310" w:type="dxa"/>
            <w:shd w:val="clear" w:color="auto" w:fill="auto"/>
            <w:vAlign w:val="center"/>
          </w:tcPr>
          <w:p w:rsidR="00E26342" w:rsidRDefault="00040788">
            <w:pPr>
              <w:spacing w:after="0"/>
              <w:jc w:val="left"/>
              <w:rPr>
                <w:rFonts w:ascii="Arial" w:hAnsi="Arial" w:cs="Arial"/>
                <w:noProof/>
                <w:color w:val="548DD4"/>
                <w:sz w:val="22"/>
                <w:szCs w:val="22"/>
                <w:lang w:eastAsia="en-GB"/>
              </w:rPr>
            </w:pPr>
            <w:r>
              <w:rPr>
                <w:rFonts w:ascii="Arial" w:hAnsi="Arial" w:cs="Arial"/>
                <w:noProof/>
                <w:color w:val="548DD4"/>
                <w:sz w:val="22"/>
                <w:szCs w:val="22"/>
                <w:lang w:eastAsia="en-GB"/>
              </w:rPr>
              <w:t>New complaints registered in 2017</w:t>
            </w:r>
          </w:p>
        </w:tc>
      </w:tr>
      <w:tr w:rsidR="00E26342">
        <w:trPr>
          <w:trHeight w:val="403"/>
          <w:jc w:val="center"/>
        </w:trPr>
        <w:tc>
          <w:tcPr>
            <w:tcW w:w="1697" w:type="dxa"/>
            <w:tcBorders>
              <w:bottom w:val="single" w:sz="24" w:space="0" w:color="548DD4"/>
            </w:tcBorders>
            <w:shd w:val="clear" w:color="auto" w:fill="auto"/>
            <w:vAlign w:val="center"/>
          </w:tcPr>
          <w:p w:rsidR="00E26342" w:rsidRDefault="00040788">
            <w:pPr>
              <w:spacing w:after="0"/>
              <w:jc w:val="right"/>
              <w:rPr>
                <w:rFonts w:ascii="Arial" w:hAnsi="Arial" w:cs="Arial"/>
                <w:noProof/>
                <w:color w:val="548DD4"/>
                <w:sz w:val="22"/>
                <w:szCs w:val="22"/>
                <w:lang w:eastAsia="en-GB"/>
              </w:rPr>
            </w:pPr>
            <w:r>
              <w:rPr>
                <w:rFonts w:ascii="Arial" w:hAnsi="Arial" w:cs="Arial"/>
                <w:noProof/>
                <w:color w:val="548DD4"/>
                <w:sz w:val="22"/>
                <w:szCs w:val="22"/>
                <w:lang w:eastAsia="en-GB"/>
              </w:rPr>
              <w:t>33</w:t>
            </w:r>
          </w:p>
        </w:tc>
        <w:tc>
          <w:tcPr>
            <w:tcW w:w="452" w:type="dxa"/>
            <w:shd w:val="clear" w:color="auto" w:fill="auto"/>
            <w:vAlign w:val="center"/>
          </w:tcPr>
          <w:p w:rsidR="00E26342" w:rsidRDefault="00040788">
            <w:pPr>
              <w:spacing w:after="0"/>
              <w:jc w:val="right"/>
              <w:rPr>
                <w:rFonts w:ascii="Arial" w:hAnsi="Arial" w:cs="Arial"/>
                <w:noProof/>
                <w:color w:val="548DD4"/>
                <w:sz w:val="22"/>
                <w:szCs w:val="22"/>
                <w:lang w:eastAsia="en-GB"/>
              </w:rPr>
            </w:pPr>
            <w:r>
              <w:rPr>
                <w:rFonts w:ascii="Arial" w:hAnsi="Arial" w:cs="Arial"/>
                <w:noProof/>
                <w:color w:val="548DD4"/>
                <w:sz w:val="22"/>
                <w:szCs w:val="22"/>
                <w:lang w:eastAsia="en-GB"/>
              </w:rPr>
              <w:t>&gt;</w:t>
            </w:r>
          </w:p>
        </w:tc>
        <w:tc>
          <w:tcPr>
            <w:tcW w:w="5310" w:type="dxa"/>
            <w:shd w:val="clear" w:color="auto" w:fill="auto"/>
            <w:vAlign w:val="center"/>
          </w:tcPr>
          <w:p w:rsidR="00E26342" w:rsidRDefault="00040788">
            <w:pPr>
              <w:spacing w:after="0"/>
              <w:jc w:val="left"/>
              <w:rPr>
                <w:rFonts w:ascii="Arial" w:hAnsi="Arial" w:cs="Arial"/>
                <w:noProof/>
                <w:color w:val="548DD4"/>
                <w:sz w:val="22"/>
                <w:szCs w:val="22"/>
                <w:lang w:eastAsia="en-GB"/>
              </w:rPr>
            </w:pPr>
            <w:r>
              <w:rPr>
                <w:rFonts w:ascii="Arial" w:hAnsi="Arial" w:cs="Arial"/>
                <w:noProof/>
                <w:color w:val="548DD4"/>
                <w:sz w:val="22"/>
                <w:szCs w:val="22"/>
                <w:lang w:eastAsia="en-GB"/>
              </w:rPr>
              <w:t>Complaints handled in 2017</w:t>
            </w:r>
          </w:p>
        </w:tc>
      </w:tr>
      <w:tr w:rsidR="00E26342">
        <w:trPr>
          <w:trHeight w:val="403"/>
          <w:jc w:val="center"/>
        </w:trPr>
        <w:tc>
          <w:tcPr>
            <w:tcW w:w="1697" w:type="dxa"/>
            <w:tcBorders>
              <w:top w:val="single" w:sz="24" w:space="0" w:color="548DD4"/>
            </w:tcBorders>
            <w:shd w:val="clear" w:color="auto" w:fill="auto"/>
            <w:vAlign w:val="center"/>
          </w:tcPr>
          <w:p w:rsidR="00E26342" w:rsidRDefault="00040788">
            <w:pPr>
              <w:spacing w:after="0"/>
              <w:jc w:val="right"/>
              <w:rPr>
                <w:rFonts w:ascii="Arial" w:hAnsi="Arial" w:cs="Arial"/>
                <w:noProof/>
                <w:color w:val="C00000"/>
                <w:sz w:val="22"/>
                <w:szCs w:val="22"/>
                <w:lang w:eastAsia="en-GB"/>
              </w:rPr>
            </w:pPr>
            <w:r>
              <w:rPr>
                <w:rFonts w:ascii="Arial" w:hAnsi="Arial" w:cs="Arial"/>
                <w:noProof/>
                <w:color w:val="C00000"/>
                <w:sz w:val="22"/>
                <w:szCs w:val="22"/>
                <w:lang w:eastAsia="en-GB"/>
              </w:rPr>
              <w:t>= 24</w:t>
            </w:r>
          </w:p>
        </w:tc>
        <w:tc>
          <w:tcPr>
            <w:tcW w:w="452" w:type="dxa"/>
            <w:shd w:val="clear" w:color="auto" w:fill="auto"/>
            <w:vAlign w:val="center"/>
          </w:tcPr>
          <w:p w:rsidR="00E26342" w:rsidRDefault="00040788">
            <w:pPr>
              <w:spacing w:after="0"/>
              <w:jc w:val="right"/>
              <w:rPr>
                <w:rFonts w:ascii="Arial" w:hAnsi="Arial" w:cs="Arial"/>
                <w:noProof/>
                <w:color w:val="548DD4"/>
                <w:sz w:val="22"/>
                <w:szCs w:val="22"/>
                <w:lang w:eastAsia="en-GB"/>
              </w:rPr>
            </w:pPr>
            <w:r>
              <w:rPr>
                <w:rFonts w:ascii="Arial" w:hAnsi="Arial" w:cs="Arial"/>
                <w:noProof/>
                <w:color w:val="548DD4"/>
                <w:sz w:val="22"/>
                <w:szCs w:val="22"/>
                <w:lang w:eastAsia="en-GB"/>
              </w:rPr>
              <w:t>&gt;</w:t>
            </w:r>
          </w:p>
        </w:tc>
        <w:tc>
          <w:tcPr>
            <w:tcW w:w="5310" w:type="dxa"/>
            <w:shd w:val="clear" w:color="auto" w:fill="auto"/>
            <w:vAlign w:val="center"/>
          </w:tcPr>
          <w:p w:rsidR="00E26342" w:rsidRDefault="00040788">
            <w:pPr>
              <w:spacing w:after="0"/>
              <w:jc w:val="left"/>
              <w:rPr>
                <w:rFonts w:ascii="Arial" w:hAnsi="Arial" w:cs="Arial"/>
                <w:noProof/>
                <w:color w:val="548DD4"/>
                <w:sz w:val="22"/>
                <w:szCs w:val="22"/>
                <w:lang w:eastAsia="en-GB"/>
              </w:rPr>
            </w:pPr>
            <w:r>
              <w:rPr>
                <w:rFonts w:ascii="Arial" w:hAnsi="Arial" w:cs="Arial"/>
                <w:noProof/>
                <w:color w:val="548DD4"/>
                <w:sz w:val="22"/>
                <w:szCs w:val="22"/>
                <w:lang w:eastAsia="en-GB"/>
              </w:rPr>
              <w:t xml:space="preserve">Complaints open at </w:t>
            </w:r>
            <w:r>
              <w:rPr>
                <w:rFonts w:ascii="Arial" w:hAnsi="Arial" w:cs="Arial"/>
                <w:noProof/>
                <w:color w:val="548DD4"/>
                <w:sz w:val="22"/>
                <w:szCs w:val="22"/>
                <w:lang w:eastAsia="en-GB"/>
              </w:rPr>
              <w:t>end-2017</w:t>
            </w:r>
          </w:p>
        </w:tc>
      </w:tr>
    </w:tbl>
    <w:p w:rsidR="00E26342" w:rsidRDefault="00040788">
      <w:pPr>
        <w:pStyle w:val="Subtitle"/>
        <w:rPr>
          <w:noProof/>
        </w:rPr>
      </w:pPr>
      <w:r>
        <w:rPr>
          <w:noProof/>
        </w:rPr>
        <w:t>New complaints registered in 2017: main policy areas</w:t>
      </w:r>
    </w:p>
    <w:p w:rsidR="00E26342" w:rsidRDefault="00040788">
      <w:pPr>
        <w:pStyle w:val="Subtitle"/>
        <w:numPr>
          <w:ilvl w:val="0"/>
          <w:numId w:val="0"/>
        </w:numPr>
        <w:ind w:left="709"/>
        <w:rPr>
          <w:noProof/>
        </w:rPr>
      </w:pPr>
      <w:r>
        <w:rPr>
          <w:noProof/>
          <w:lang w:eastAsia="en-GB"/>
        </w:rPr>
        <w:drawing>
          <wp:inline distT="0" distB="0" distL="0" distR="0" wp14:anchorId="2ECF30C5" wp14:editId="5D8ECBE2">
            <wp:extent cx="4627880" cy="2321560"/>
            <wp:effectExtent l="0" t="0" r="20320" b="21590"/>
            <wp:docPr id="190" name="Grafiek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E26342" w:rsidRDefault="00040788">
      <w:pPr>
        <w:spacing w:after="200" w:line="276" w:lineRule="auto"/>
        <w:ind w:firstLine="709"/>
        <w:jc w:val="left"/>
        <w:rPr>
          <w:noProof/>
        </w:rPr>
      </w:pPr>
      <w:r>
        <w:rPr>
          <w:noProof/>
        </w:rPr>
        <w:br w:type="page"/>
      </w:r>
    </w:p>
    <w:p w:rsidR="00E26342" w:rsidRDefault="00040788">
      <w:pPr>
        <w:pStyle w:val="kop2"/>
        <w:numPr>
          <w:ilvl w:val="0"/>
          <w:numId w:val="55"/>
        </w:numPr>
        <w:spacing w:after="0"/>
        <w:ind w:left="709" w:hanging="425"/>
        <w:rPr>
          <w:noProof/>
        </w:rPr>
      </w:pPr>
      <w:r>
        <w:rPr>
          <w:noProof/>
        </w:rPr>
        <w:t>EU PILOT</w:t>
      </w:r>
    </w:p>
    <w:p w:rsidR="00E26342" w:rsidRDefault="00040788">
      <w:pPr>
        <w:pStyle w:val="Subtitle"/>
        <w:rPr>
          <w:noProof/>
        </w:rPr>
      </w:pPr>
      <w:r>
        <w:rPr>
          <w:noProof/>
        </w:rPr>
        <w:t>New EU Pilot files opened against Malta (2013-2017)</w:t>
      </w:r>
    </w:p>
    <w:p w:rsidR="00E26342" w:rsidRDefault="00040788">
      <w:pPr>
        <w:tabs>
          <w:tab w:val="left" w:pos="0"/>
        </w:tabs>
        <w:ind w:firstLine="709"/>
        <w:rPr>
          <w:rFonts w:ascii="Arial" w:hAnsi="Arial" w:cs="Arial"/>
          <w:noProof/>
          <w:sz w:val="20"/>
        </w:rPr>
      </w:pPr>
      <w:r>
        <w:rPr>
          <w:rFonts w:ascii="Arial" w:hAnsi="Arial" w:cs="Arial"/>
          <w:noProof/>
          <w:sz w:val="20"/>
          <w:lang w:eastAsia="en-GB"/>
        </w:rPr>
        <w:drawing>
          <wp:inline distT="0" distB="0" distL="0" distR="0" wp14:anchorId="4A308088" wp14:editId="41BFBCAB">
            <wp:extent cx="4596130" cy="2210435"/>
            <wp:effectExtent l="0" t="0" r="13970" b="18415"/>
            <wp:docPr id="191"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E26342" w:rsidRDefault="00040788">
      <w:pPr>
        <w:pStyle w:val="Subtitle"/>
        <w:rPr>
          <w:noProof/>
        </w:rPr>
      </w:pPr>
      <w:r>
        <w:rPr>
          <w:noProof/>
        </w:rPr>
        <w:t>Files relating to Malta open in EU Pilot at year-end</w:t>
      </w:r>
    </w:p>
    <w:p w:rsidR="00E26342" w:rsidRDefault="00040788">
      <w:pPr>
        <w:spacing w:after="0"/>
        <w:ind w:firstLine="709"/>
        <w:rPr>
          <w:rFonts w:ascii="Arial" w:hAnsi="Arial" w:cs="Arial"/>
          <w:noProof/>
          <w:sz w:val="20"/>
        </w:rPr>
      </w:pPr>
      <w:r>
        <w:rPr>
          <w:rFonts w:ascii="Arial" w:hAnsi="Arial" w:cs="Arial"/>
          <w:noProof/>
          <w:sz w:val="20"/>
          <w:lang w:eastAsia="en-GB"/>
        </w:rPr>
        <w:drawing>
          <wp:inline distT="0" distB="0" distL="0" distR="0" wp14:anchorId="73B5CF19" wp14:editId="20D6F043">
            <wp:extent cx="4596130" cy="2250440"/>
            <wp:effectExtent l="0" t="0" r="13970" b="16510"/>
            <wp:docPr id="15"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E26342" w:rsidRDefault="00040788">
      <w:pPr>
        <w:pStyle w:val="Subtitle"/>
        <w:rPr>
          <w:noProof/>
        </w:rPr>
      </w:pPr>
      <w:r>
        <w:rPr>
          <w:noProof/>
        </w:rPr>
        <w:t>New EU Pilot files opened in 2017: main policy areas</w:t>
      </w:r>
    </w:p>
    <w:p w:rsidR="00E26342" w:rsidRDefault="00040788">
      <w:pPr>
        <w:spacing w:after="120"/>
        <w:ind w:firstLine="709"/>
        <w:rPr>
          <w:rFonts w:ascii="Arial" w:hAnsi="Arial" w:cs="Arial"/>
          <w:noProof/>
          <w:sz w:val="20"/>
        </w:rPr>
      </w:pPr>
      <w:r>
        <w:rPr>
          <w:rFonts w:ascii="Arial" w:hAnsi="Arial" w:cs="Arial"/>
          <w:noProof/>
          <w:sz w:val="20"/>
          <w:lang w:eastAsia="en-GB"/>
        </w:rPr>
        <w:drawing>
          <wp:inline distT="0" distB="0" distL="0" distR="0" wp14:anchorId="70CC0FAE" wp14:editId="5F828224">
            <wp:extent cx="4651375" cy="2226310"/>
            <wp:effectExtent l="0" t="0" r="15875" b="21590"/>
            <wp:docPr id="10" name="Grafiek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E26342" w:rsidRDefault="00040788">
      <w:pPr>
        <w:spacing w:after="0"/>
        <w:jc w:val="left"/>
        <w:rPr>
          <w:rFonts w:ascii="Arial" w:hAnsi="Arial" w:cs="Arial"/>
          <w:noProof/>
          <w:sz w:val="20"/>
        </w:rPr>
      </w:pPr>
      <w:r>
        <w:rPr>
          <w:rFonts w:ascii="Arial" w:hAnsi="Arial" w:cs="Arial"/>
          <w:noProof/>
          <w:sz w:val="20"/>
        </w:rPr>
        <w:br w:type="page"/>
      </w:r>
    </w:p>
    <w:p w:rsidR="00E26342" w:rsidRDefault="00040788">
      <w:pPr>
        <w:pStyle w:val="Subtitle"/>
        <w:rPr>
          <w:noProof/>
        </w:rPr>
      </w:pPr>
      <w:r>
        <w:rPr>
          <w:noProof/>
        </w:rPr>
        <w:t xml:space="preserve">EU Pilot </w:t>
      </w:r>
      <w:r>
        <w:rPr>
          <w:noProof/>
        </w:rPr>
        <w:t>files: Malta’s resolution rate in 2013-2017</w:t>
      </w:r>
    </w:p>
    <w:p w:rsidR="00E26342" w:rsidRDefault="00040788">
      <w:pPr>
        <w:spacing w:after="120"/>
        <w:ind w:firstLine="709"/>
        <w:rPr>
          <w:rFonts w:ascii="Arial" w:hAnsi="Arial" w:cs="Arial"/>
          <w:noProof/>
          <w:sz w:val="20"/>
        </w:rPr>
      </w:pPr>
      <w:r>
        <w:rPr>
          <w:rFonts w:ascii="Arial" w:hAnsi="Arial" w:cs="Arial"/>
          <w:noProof/>
          <w:sz w:val="20"/>
          <w:lang w:eastAsia="en-GB"/>
        </w:rPr>
        <w:drawing>
          <wp:inline distT="0" distB="0" distL="0" distR="0" wp14:anchorId="2CC7898D" wp14:editId="7DF4C454">
            <wp:extent cx="4612005" cy="2289810"/>
            <wp:effectExtent l="0" t="0" r="0" b="0"/>
            <wp:docPr id="194"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E26342" w:rsidRDefault="00040788">
      <w:pPr>
        <w:pStyle w:val="kop2"/>
        <w:numPr>
          <w:ilvl w:val="0"/>
          <w:numId w:val="55"/>
        </w:numPr>
        <w:spacing w:before="240" w:after="240"/>
        <w:ind w:left="709" w:hanging="425"/>
        <w:rPr>
          <w:noProof/>
        </w:rPr>
      </w:pPr>
      <w:r>
        <w:rPr>
          <w:noProof/>
        </w:rPr>
        <w:t>INFRINGEMENT CASES</w:t>
      </w:r>
    </w:p>
    <w:p w:rsidR="00E26342" w:rsidRDefault="00040788">
      <w:pPr>
        <w:pStyle w:val="AnnualReport2"/>
        <w:numPr>
          <w:ilvl w:val="0"/>
          <w:numId w:val="91"/>
        </w:numPr>
        <w:ind w:left="782" w:hanging="357"/>
        <w:rPr>
          <w:noProof/>
        </w:rPr>
      </w:pPr>
      <w:r>
        <w:rPr>
          <w:noProof/>
        </w:rPr>
        <w:t>Infringement cases against Malta open on 31 December (2013-2017)</w:t>
      </w:r>
    </w:p>
    <w:p w:rsidR="00E26342" w:rsidRDefault="00040788">
      <w:pPr>
        <w:spacing w:after="120"/>
        <w:ind w:firstLine="709"/>
        <w:rPr>
          <w:rFonts w:ascii="Arial" w:hAnsi="Arial" w:cs="Arial"/>
          <w:noProof/>
          <w:sz w:val="20"/>
        </w:rPr>
      </w:pPr>
      <w:r>
        <w:rPr>
          <w:rFonts w:ascii="Arial" w:hAnsi="Arial" w:cs="Arial"/>
          <w:noProof/>
          <w:sz w:val="20"/>
          <w:lang w:eastAsia="en-GB"/>
        </w:rPr>
        <w:drawing>
          <wp:inline distT="0" distB="0" distL="0" distR="0" wp14:anchorId="321CD01D" wp14:editId="1668BD48">
            <wp:extent cx="4594860" cy="2095500"/>
            <wp:effectExtent l="0" t="0" r="15240" b="19050"/>
            <wp:docPr id="195" name="Grafiek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E26342" w:rsidRDefault="00040788">
      <w:pPr>
        <w:pStyle w:val="AnnualReport2"/>
        <w:numPr>
          <w:ilvl w:val="0"/>
          <w:numId w:val="91"/>
        </w:numPr>
        <w:rPr>
          <w:noProof/>
        </w:rPr>
      </w:pPr>
      <w:r>
        <w:rPr>
          <w:noProof/>
        </w:rPr>
        <w:t>New infringement cases opened in 2017: main policy areas</w:t>
      </w:r>
    </w:p>
    <w:p w:rsidR="00E26342" w:rsidRDefault="00040788">
      <w:pPr>
        <w:spacing w:after="120"/>
        <w:ind w:firstLine="709"/>
        <w:rPr>
          <w:rFonts w:ascii="Arial" w:hAnsi="Arial" w:cs="Arial"/>
          <w:noProof/>
          <w:sz w:val="20"/>
        </w:rPr>
      </w:pPr>
      <w:r>
        <w:rPr>
          <w:rFonts w:ascii="Arial" w:hAnsi="Arial" w:cs="Arial"/>
          <w:noProof/>
          <w:sz w:val="20"/>
          <w:lang w:eastAsia="en-GB"/>
        </w:rPr>
        <w:drawing>
          <wp:inline distT="0" distB="0" distL="0" distR="0" wp14:anchorId="4B323757" wp14:editId="6081E9AF">
            <wp:extent cx="4594860" cy="2316480"/>
            <wp:effectExtent l="0" t="0" r="15240" b="26670"/>
            <wp:docPr id="196" name="Object 1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E26342" w:rsidRDefault="00040788">
      <w:pPr>
        <w:spacing w:after="0"/>
        <w:jc w:val="left"/>
        <w:rPr>
          <w:rFonts w:ascii="Arial" w:hAnsi="Arial"/>
          <w:noProof/>
          <w:color w:val="002060"/>
          <w:sz w:val="22"/>
          <w:szCs w:val="22"/>
        </w:rPr>
      </w:pPr>
      <w:r>
        <w:rPr>
          <w:noProof/>
        </w:rPr>
        <w:br w:type="page"/>
      </w:r>
    </w:p>
    <w:p w:rsidR="00E26342" w:rsidRDefault="00040788">
      <w:pPr>
        <w:pStyle w:val="AnnualReport2"/>
        <w:numPr>
          <w:ilvl w:val="0"/>
          <w:numId w:val="91"/>
        </w:numPr>
        <w:rPr>
          <w:noProof/>
        </w:rPr>
      </w:pPr>
      <w:r>
        <w:rPr>
          <w:noProof/>
        </w:rPr>
        <w:t>Key infringement cases and referrals to the Court</w:t>
      </w:r>
    </w:p>
    <w:p w:rsidR="00E26342" w:rsidRDefault="00040788">
      <w:pPr>
        <w:pStyle w:val="Lijstje"/>
        <w:numPr>
          <w:ilvl w:val="0"/>
          <w:numId w:val="56"/>
        </w:numPr>
        <w:ind w:left="1276" w:hanging="425"/>
        <w:rPr>
          <w:noProof/>
        </w:rPr>
      </w:pPr>
      <w:r>
        <w:rPr>
          <w:noProof/>
        </w:rPr>
        <w:t>The Commissio</w:t>
      </w:r>
      <w:r>
        <w:rPr>
          <w:noProof/>
        </w:rPr>
        <w:t>n opened 20 new infringement cases against Malta in 2017. These, and other major ongoing infringement cases, include:</w:t>
      </w:r>
    </w:p>
    <w:p w:rsidR="00E26342" w:rsidRDefault="00040788">
      <w:pPr>
        <w:pStyle w:val="Lijstje2"/>
        <w:spacing w:after="0"/>
        <w:ind w:left="1843" w:hanging="425"/>
        <w:rPr>
          <w:rFonts w:ascii="Arial" w:hAnsi="Arial" w:cs="Arial"/>
          <w:noProof/>
          <w:lang w:val="en-GB"/>
        </w:rPr>
      </w:pPr>
      <w:r>
        <w:rPr>
          <w:rFonts w:ascii="Arial" w:hAnsi="Arial" w:cs="Arial"/>
          <w:noProof/>
          <w:lang w:val="en-GB"/>
        </w:rPr>
        <w:t>non-</w:t>
      </w:r>
      <w:r>
        <w:rPr>
          <w:rFonts w:ascii="Arial" w:hAnsi="Arial"/>
          <w:noProof/>
          <w:lang w:val="en-GB"/>
        </w:rPr>
        <w:t>communication</w:t>
      </w:r>
      <w:r>
        <w:rPr>
          <w:rFonts w:ascii="Arial" w:hAnsi="Arial" w:cs="Arial"/>
          <w:noProof/>
          <w:lang w:val="en-GB"/>
        </w:rPr>
        <w:t xml:space="preserve"> of national measures transposing the:</w:t>
      </w:r>
    </w:p>
    <w:p w:rsidR="00E26342" w:rsidRDefault="00040788">
      <w:pPr>
        <w:numPr>
          <w:ilvl w:val="2"/>
          <w:numId w:val="2"/>
        </w:numPr>
        <w:spacing w:after="200"/>
        <w:contextualSpacing/>
        <w:rPr>
          <w:rFonts w:ascii="Arial" w:hAnsi="Arial" w:cs="Arial"/>
          <w:noProof/>
          <w:sz w:val="20"/>
        </w:rPr>
      </w:pPr>
      <w:r>
        <w:rPr>
          <w:rFonts w:ascii="Arial" w:hAnsi="Arial" w:cs="Arial"/>
          <w:noProof/>
          <w:sz w:val="20"/>
        </w:rPr>
        <w:t>Fourth Anti-Money Laundering Directive</w:t>
      </w:r>
      <w:r>
        <w:rPr>
          <w:rStyle w:val="FootnoteReference"/>
          <w:rFonts w:ascii="Arial" w:hAnsi="Arial" w:cs="Arial"/>
          <w:noProof/>
          <w:sz w:val="20"/>
        </w:rPr>
        <w:footnoteReference w:id="51"/>
      </w:r>
      <w:r>
        <w:rPr>
          <w:rFonts w:ascii="Arial" w:hAnsi="Arial" w:cs="Arial"/>
          <w:noProof/>
          <w:sz w:val="20"/>
        </w:rPr>
        <w:t>;</w:t>
      </w:r>
    </w:p>
    <w:p w:rsidR="00E26342" w:rsidRDefault="00040788">
      <w:pPr>
        <w:numPr>
          <w:ilvl w:val="2"/>
          <w:numId w:val="2"/>
        </w:numPr>
        <w:spacing w:after="200"/>
        <w:contextualSpacing/>
        <w:rPr>
          <w:rFonts w:ascii="Arial" w:hAnsi="Arial" w:cs="Arial"/>
          <w:noProof/>
          <w:sz w:val="20"/>
        </w:rPr>
      </w:pPr>
      <w:r>
        <w:rPr>
          <w:rFonts w:ascii="Arial" w:hAnsi="Arial" w:cs="Arial"/>
          <w:noProof/>
          <w:sz w:val="20"/>
        </w:rPr>
        <w:t xml:space="preserve">Directive on recognition of professional </w:t>
      </w:r>
      <w:r>
        <w:rPr>
          <w:rFonts w:ascii="Arial" w:hAnsi="Arial" w:cs="Arial"/>
          <w:noProof/>
          <w:sz w:val="20"/>
        </w:rPr>
        <w:t>qualifications</w:t>
      </w:r>
      <w:r>
        <w:rPr>
          <w:rStyle w:val="FootnoteReference"/>
          <w:noProof/>
        </w:rPr>
        <w:footnoteReference w:id="52"/>
      </w:r>
      <w:r>
        <w:rPr>
          <w:rFonts w:ascii="Arial" w:hAnsi="Arial" w:cs="Arial"/>
          <w:noProof/>
          <w:sz w:val="20"/>
        </w:rPr>
        <w:t>;</w:t>
      </w:r>
    </w:p>
    <w:p w:rsidR="00E26342" w:rsidRDefault="00040788">
      <w:pPr>
        <w:numPr>
          <w:ilvl w:val="2"/>
          <w:numId w:val="2"/>
        </w:numPr>
        <w:spacing w:after="200"/>
        <w:contextualSpacing/>
        <w:rPr>
          <w:rFonts w:ascii="Arial" w:hAnsi="Arial" w:cs="Arial"/>
          <w:noProof/>
          <w:sz w:val="20"/>
        </w:rPr>
      </w:pPr>
      <w:r>
        <w:rPr>
          <w:rFonts w:ascii="Arial" w:hAnsi="Arial" w:cs="Arial"/>
          <w:noProof/>
          <w:sz w:val="20"/>
        </w:rPr>
        <w:t>Markets in Financial Instruments Directive (MiFID II)</w:t>
      </w:r>
      <w:r>
        <w:rPr>
          <w:rStyle w:val="FootnoteReference"/>
          <w:rFonts w:ascii="Arial" w:hAnsi="Arial" w:cs="Arial"/>
          <w:noProof/>
          <w:sz w:val="20"/>
        </w:rPr>
        <w:footnoteReference w:id="53"/>
      </w:r>
      <w:r>
        <w:rPr>
          <w:rFonts w:ascii="Arial" w:hAnsi="Arial" w:cs="Arial"/>
          <w:noProof/>
          <w:sz w:val="20"/>
        </w:rPr>
        <w:t>;</w:t>
      </w:r>
    </w:p>
    <w:p w:rsidR="00E26342" w:rsidRDefault="00040788">
      <w:pPr>
        <w:numPr>
          <w:ilvl w:val="2"/>
          <w:numId w:val="2"/>
        </w:numPr>
        <w:spacing w:after="0"/>
        <w:ind w:left="2517" w:hanging="357"/>
        <w:contextualSpacing/>
        <w:rPr>
          <w:rFonts w:ascii="Arial" w:hAnsi="Arial" w:cs="Arial"/>
          <w:noProof/>
          <w:sz w:val="20"/>
        </w:rPr>
      </w:pPr>
      <w:r>
        <w:rPr>
          <w:rFonts w:ascii="Arial" w:hAnsi="Arial" w:cs="Arial"/>
          <w:noProof/>
          <w:sz w:val="20"/>
        </w:rPr>
        <w:t>Directive</w:t>
      </w:r>
      <w:r>
        <w:rPr>
          <w:rStyle w:val="FootnoteReference"/>
          <w:rFonts w:ascii="Arial" w:hAnsi="Arial" w:cs="Arial"/>
          <w:noProof/>
          <w:sz w:val="20"/>
        </w:rPr>
        <w:footnoteReference w:id="54"/>
      </w:r>
      <w:r>
        <w:rPr>
          <w:rFonts w:ascii="Arial" w:hAnsi="Arial" w:cs="Arial"/>
          <w:noProof/>
          <w:sz w:val="20"/>
        </w:rPr>
        <w:t xml:space="preserve"> laying down calculation methods and reporting requirements pursuant to the Directive on fuels quality</w:t>
      </w:r>
      <w:r>
        <w:rPr>
          <w:rStyle w:val="FootnoteReference"/>
          <w:rFonts w:ascii="Arial" w:hAnsi="Arial" w:cs="Arial"/>
          <w:noProof/>
          <w:sz w:val="20"/>
        </w:rPr>
        <w:footnoteReference w:id="55"/>
      </w:r>
      <w:r>
        <w:rPr>
          <w:rFonts w:ascii="Arial" w:hAnsi="Arial" w:cs="Arial"/>
          <w:noProof/>
          <w:sz w:val="20"/>
        </w:rPr>
        <w:t>;</w:t>
      </w:r>
    </w:p>
    <w:p w:rsidR="00E26342" w:rsidRDefault="00040788">
      <w:pPr>
        <w:pStyle w:val="Lijstje2"/>
        <w:ind w:left="1843" w:hanging="425"/>
        <w:rPr>
          <w:rFonts w:ascii="Arial" w:hAnsi="Arial" w:cs="Arial"/>
          <w:noProof/>
          <w:lang w:val="en-GB"/>
        </w:rPr>
      </w:pPr>
      <w:r>
        <w:rPr>
          <w:rFonts w:ascii="Arial" w:hAnsi="Arial" w:cs="Arial"/>
          <w:noProof/>
          <w:lang w:val="en-GB"/>
        </w:rPr>
        <w:t xml:space="preserve">failure to comply with reporting obligations under EU waste </w:t>
      </w:r>
      <w:r>
        <w:rPr>
          <w:rFonts w:ascii="Arial" w:hAnsi="Arial" w:cs="Arial"/>
          <w:noProof/>
          <w:lang w:val="en-GB"/>
        </w:rPr>
        <w:t>legislation</w:t>
      </w:r>
      <w:r>
        <w:rPr>
          <w:rStyle w:val="FootnoteReference"/>
          <w:rFonts w:ascii="Arial" w:hAnsi="Arial" w:cs="Arial"/>
          <w:noProof/>
          <w:lang w:val="en-GB"/>
        </w:rPr>
        <w:footnoteReference w:id="56"/>
      </w:r>
      <w:r>
        <w:rPr>
          <w:rFonts w:ascii="Arial" w:hAnsi="Arial" w:cs="Arial"/>
          <w:noProof/>
          <w:lang w:val="en-GB"/>
        </w:rPr>
        <w:t>;</w:t>
      </w:r>
    </w:p>
    <w:p w:rsidR="00E26342" w:rsidRDefault="00040788">
      <w:pPr>
        <w:pStyle w:val="Lijstje2"/>
        <w:ind w:left="1843" w:hanging="425"/>
        <w:rPr>
          <w:rFonts w:ascii="Arial" w:hAnsi="Arial" w:cs="Arial"/>
          <w:noProof/>
          <w:lang w:val="en-GB"/>
        </w:rPr>
      </w:pPr>
      <w:r>
        <w:rPr>
          <w:rFonts w:ascii="Arial" w:hAnsi="Arial" w:cs="Arial"/>
          <w:noProof/>
          <w:lang w:val="en-GB"/>
        </w:rPr>
        <w:t>failure to ensure that urban waste water is adequately treated</w:t>
      </w:r>
      <w:r>
        <w:rPr>
          <w:rStyle w:val="FootnoteReference"/>
          <w:rFonts w:ascii="Arial" w:hAnsi="Arial" w:cs="Arial"/>
          <w:noProof/>
          <w:lang w:val="en-GB"/>
        </w:rPr>
        <w:footnoteReference w:id="57"/>
      </w:r>
      <w:r>
        <w:rPr>
          <w:rFonts w:ascii="Arial" w:hAnsi="Arial" w:cs="Arial"/>
          <w:noProof/>
          <w:lang w:val="en-GB"/>
        </w:rPr>
        <w:t>;</w:t>
      </w:r>
    </w:p>
    <w:p w:rsidR="00E26342" w:rsidRDefault="00040788">
      <w:pPr>
        <w:pStyle w:val="Lijstje2"/>
        <w:ind w:left="1843" w:hanging="425"/>
        <w:rPr>
          <w:rFonts w:ascii="Arial" w:hAnsi="Arial" w:cs="Arial"/>
          <w:i/>
          <w:noProof/>
          <w:lang w:val="en-GB"/>
        </w:rPr>
      </w:pPr>
      <w:r>
        <w:rPr>
          <w:rFonts w:ascii="Arial" w:hAnsi="Arial" w:cs="Arial"/>
          <w:noProof/>
          <w:lang w:val="en-GB"/>
        </w:rPr>
        <w:t>failure to develop and report on the programmes of measures required by the Marine Strategy Framework Directive</w:t>
      </w:r>
      <w:r>
        <w:rPr>
          <w:rStyle w:val="FootnoteReference"/>
          <w:rFonts w:ascii="Arial" w:hAnsi="Arial" w:cs="Arial"/>
          <w:noProof/>
          <w:lang w:val="en-GB"/>
        </w:rPr>
        <w:footnoteReference w:id="58"/>
      </w:r>
      <w:r>
        <w:rPr>
          <w:rFonts w:ascii="Arial" w:hAnsi="Arial" w:cs="Arial"/>
          <w:noProof/>
          <w:lang w:val="en-GB"/>
        </w:rPr>
        <w:t>;</w:t>
      </w:r>
    </w:p>
    <w:p w:rsidR="00E26342" w:rsidRDefault="00040788">
      <w:pPr>
        <w:pStyle w:val="Lijstje2"/>
        <w:ind w:left="1843" w:hanging="425"/>
        <w:rPr>
          <w:rFonts w:ascii="Arial" w:hAnsi="Arial" w:cs="Arial"/>
          <w:noProof/>
          <w:lang w:val="en-GB"/>
        </w:rPr>
      </w:pPr>
      <w:r>
        <w:rPr>
          <w:rFonts w:ascii="Arial" w:hAnsi="Arial" w:cs="Arial"/>
          <w:noProof/>
          <w:lang w:val="en-GB"/>
        </w:rPr>
        <w:t>incorrect transposition and application of the Energy Performan</w:t>
      </w:r>
      <w:r>
        <w:rPr>
          <w:rFonts w:ascii="Arial" w:hAnsi="Arial" w:cs="Arial"/>
          <w:noProof/>
          <w:lang w:val="en-GB"/>
        </w:rPr>
        <w:t>ce of Buildings Directive</w:t>
      </w:r>
      <w:r>
        <w:rPr>
          <w:rStyle w:val="FootnoteReference"/>
          <w:noProof/>
        </w:rPr>
        <w:footnoteReference w:id="59"/>
      </w:r>
      <w:r>
        <w:rPr>
          <w:rFonts w:ascii="Arial" w:hAnsi="Arial" w:cs="Arial"/>
          <w:noProof/>
          <w:lang w:val="en-GB"/>
        </w:rPr>
        <w:t>.</w:t>
      </w:r>
    </w:p>
    <w:p w:rsidR="00E26342" w:rsidRDefault="00040788">
      <w:pPr>
        <w:pStyle w:val="Lijstje"/>
        <w:numPr>
          <w:ilvl w:val="0"/>
          <w:numId w:val="56"/>
        </w:numPr>
        <w:ind w:left="1276" w:hanging="425"/>
        <w:rPr>
          <w:noProof/>
        </w:rPr>
      </w:pPr>
      <w:r>
        <w:rPr>
          <w:noProof/>
        </w:rPr>
        <w:t>The Commission did not refer any cases to the Court under Article 258 TFEU.</w:t>
      </w:r>
    </w:p>
    <w:p w:rsidR="00E26342" w:rsidRDefault="00040788">
      <w:pPr>
        <w:pStyle w:val="Lijstje"/>
        <w:numPr>
          <w:ilvl w:val="0"/>
          <w:numId w:val="56"/>
        </w:numPr>
        <w:ind w:left="1276" w:hanging="425"/>
        <w:rPr>
          <w:noProof/>
        </w:rPr>
      </w:pPr>
      <w:r>
        <w:rPr>
          <w:noProof/>
        </w:rPr>
        <w:t>The Commission did not refer any cases to the Court under Article 260(2) TFEU.</w:t>
      </w:r>
    </w:p>
    <w:p w:rsidR="00E26342" w:rsidRDefault="00040788">
      <w:pPr>
        <w:pStyle w:val="kop2"/>
        <w:numPr>
          <w:ilvl w:val="0"/>
          <w:numId w:val="55"/>
        </w:numPr>
        <w:spacing w:before="360" w:after="240"/>
        <w:ind w:left="709" w:hanging="425"/>
        <w:rPr>
          <w:noProof/>
        </w:rPr>
      </w:pPr>
      <w:r>
        <w:rPr>
          <w:noProof/>
        </w:rPr>
        <w:t>TRANSPOSITION OF DIRECTIVES</w:t>
      </w:r>
    </w:p>
    <w:p w:rsidR="00E26342" w:rsidRDefault="00040788">
      <w:pPr>
        <w:pStyle w:val="AnnualReport2"/>
        <w:numPr>
          <w:ilvl w:val="0"/>
          <w:numId w:val="92"/>
        </w:numPr>
        <w:ind w:left="709" w:hanging="425"/>
        <w:rPr>
          <w:noProof/>
        </w:rPr>
      </w:pPr>
      <w:r>
        <w:rPr>
          <w:noProof/>
        </w:rPr>
        <w:t>Late transposition infringement cases against</w:t>
      </w:r>
      <w:r>
        <w:rPr>
          <w:noProof/>
        </w:rPr>
        <w:t xml:space="preserve"> Malta open on 31 December (2013-2017)</w:t>
      </w:r>
    </w:p>
    <w:p w:rsidR="00E26342" w:rsidRDefault="00040788">
      <w:pPr>
        <w:ind w:left="426" w:firstLine="283"/>
        <w:rPr>
          <w:noProof/>
        </w:rPr>
      </w:pPr>
      <w:r>
        <w:rPr>
          <w:noProof/>
          <w:lang w:eastAsia="en-GB"/>
        </w:rPr>
        <w:drawing>
          <wp:inline distT="0" distB="0" distL="0" distR="0" wp14:anchorId="72EEB9AF" wp14:editId="4B5669FB">
            <wp:extent cx="4572000" cy="2345690"/>
            <wp:effectExtent l="0" t="0" r="0" b="0"/>
            <wp:docPr id="9"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E26342" w:rsidRDefault="00040788">
      <w:pPr>
        <w:spacing w:after="0"/>
        <w:jc w:val="left"/>
        <w:rPr>
          <w:rFonts w:ascii="Arial" w:hAnsi="Arial"/>
          <w:noProof/>
          <w:color w:val="002060"/>
          <w:sz w:val="22"/>
          <w:szCs w:val="22"/>
        </w:rPr>
      </w:pPr>
      <w:r>
        <w:rPr>
          <w:noProof/>
        </w:rPr>
        <w:br w:type="page"/>
      </w:r>
    </w:p>
    <w:p w:rsidR="00E26342" w:rsidRDefault="00040788">
      <w:pPr>
        <w:pStyle w:val="AnnualReport2"/>
        <w:numPr>
          <w:ilvl w:val="0"/>
          <w:numId w:val="92"/>
        </w:numPr>
        <w:ind w:left="709" w:hanging="425"/>
        <w:rPr>
          <w:noProof/>
        </w:rPr>
      </w:pPr>
      <w:r>
        <w:rPr>
          <w:noProof/>
        </w:rPr>
        <w:t>New late transposition infringement cases against Malta (2013-2017)</w:t>
      </w:r>
    </w:p>
    <w:p w:rsidR="00E26342" w:rsidRDefault="00040788">
      <w:pPr>
        <w:spacing w:after="120"/>
        <w:ind w:firstLine="709"/>
        <w:rPr>
          <w:rFonts w:ascii="Arial" w:hAnsi="Arial" w:cs="Arial"/>
          <w:noProof/>
          <w:sz w:val="20"/>
        </w:rPr>
      </w:pPr>
      <w:r>
        <w:rPr>
          <w:rFonts w:ascii="Arial" w:hAnsi="Arial" w:cs="Arial"/>
          <w:noProof/>
          <w:sz w:val="20"/>
          <w:lang w:eastAsia="en-GB"/>
        </w:rPr>
        <w:drawing>
          <wp:inline distT="0" distB="0" distL="0" distR="0" wp14:anchorId="4D2CA251" wp14:editId="445BD8FD">
            <wp:extent cx="4580255" cy="2337435"/>
            <wp:effectExtent l="0" t="0" r="10795" b="24765"/>
            <wp:docPr id="198"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E26342" w:rsidRDefault="00040788">
      <w:pPr>
        <w:pStyle w:val="AnnualReport2"/>
        <w:numPr>
          <w:ilvl w:val="0"/>
          <w:numId w:val="92"/>
        </w:numPr>
        <w:ind w:left="709" w:hanging="425"/>
        <w:rPr>
          <w:noProof/>
        </w:rPr>
      </w:pPr>
      <w:r>
        <w:rPr>
          <w:noProof/>
        </w:rPr>
        <w:t>New late transposition infringement cases opened in 2017: main policy areas</w:t>
      </w:r>
    </w:p>
    <w:p w:rsidR="00E26342" w:rsidRDefault="00040788">
      <w:pPr>
        <w:spacing w:after="120"/>
        <w:ind w:firstLine="709"/>
        <w:rPr>
          <w:rFonts w:ascii="Arial" w:hAnsi="Arial" w:cs="Arial"/>
          <w:noProof/>
          <w:sz w:val="20"/>
        </w:rPr>
      </w:pPr>
      <w:r>
        <w:rPr>
          <w:rFonts w:ascii="Arial" w:hAnsi="Arial" w:cs="Arial"/>
          <w:noProof/>
          <w:sz w:val="20"/>
          <w:lang w:eastAsia="en-GB"/>
        </w:rPr>
        <w:drawing>
          <wp:inline distT="0" distB="0" distL="0" distR="0" wp14:anchorId="12A03A67" wp14:editId="27ED48C0">
            <wp:extent cx="4580255" cy="2321560"/>
            <wp:effectExtent l="0" t="0" r="10795" b="21590"/>
            <wp:docPr id="199" name="Object 19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E26342" w:rsidRDefault="00040788">
      <w:pPr>
        <w:pStyle w:val="AnnualReport2"/>
        <w:numPr>
          <w:ilvl w:val="0"/>
          <w:numId w:val="92"/>
        </w:numPr>
        <w:ind w:left="709" w:hanging="425"/>
        <w:rPr>
          <w:noProof/>
        </w:rPr>
      </w:pPr>
      <w:r>
        <w:rPr>
          <w:noProof/>
        </w:rPr>
        <w:t>Referrals to the Court</w:t>
      </w:r>
    </w:p>
    <w:p w:rsidR="00E26342" w:rsidRDefault="00040788">
      <w:pPr>
        <w:spacing w:after="120"/>
        <w:ind w:left="709"/>
        <w:rPr>
          <w:rFonts w:ascii="Arial" w:eastAsia="Calibri" w:hAnsi="Arial" w:cs="Arial"/>
          <w:noProof/>
          <w:kern w:val="20"/>
          <w:sz w:val="20"/>
        </w:rPr>
      </w:pPr>
      <w:r>
        <w:rPr>
          <w:rFonts w:ascii="Arial" w:eastAsia="Calibri" w:hAnsi="Arial" w:cs="Arial"/>
          <w:noProof/>
          <w:kern w:val="20"/>
          <w:sz w:val="20"/>
        </w:rPr>
        <w:t xml:space="preserve">The Commission did not refer any cases to </w:t>
      </w:r>
      <w:r>
        <w:rPr>
          <w:rFonts w:ascii="Arial" w:eastAsia="Calibri" w:hAnsi="Arial" w:cs="Arial"/>
          <w:noProof/>
          <w:kern w:val="20"/>
          <w:sz w:val="20"/>
        </w:rPr>
        <w:t>the Court under Articles 258 and 260(3) TFEU.</w:t>
      </w:r>
    </w:p>
    <w:p w:rsidR="00E26342" w:rsidRDefault="00040788">
      <w:pPr>
        <w:pStyle w:val="kop2"/>
        <w:numPr>
          <w:ilvl w:val="0"/>
          <w:numId w:val="55"/>
        </w:numPr>
        <w:spacing w:before="360" w:after="240"/>
        <w:ind w:left="709" w:hanging="425"/>
        <w:rPr>
          <w:noProof/>
        </w:rPr>
      </w:pPr>
      <w:r>
        <w:rPr>
          <w:noProof/>
        </w:rPr>
        <w:t>EARLY RESOLUTION OF INFRINGEMENT CASES</w:t>
      </w:r>
    </w:p>
    <w:p w:rsidR="00E26342" w:rsidRDefault="00040788">
      <w:pPr>
        <w:spacing w:after="60"/>
        <w:ind w:firstLine="360"/>
        <w:jc w:val="left"/>
        <w:outlineLvl w:val="1"/>
        <w:rPr>
          <w:rFonts w:ascii="Arial" w:hAnsi="Arial"/>
          <w:noProof/>
          <w:color w:val="002060"/>
          <w:sz w:val="22"/>
          <w:szCs w:val="22"/>
        </w:rPr>
      </w:pPr>
      <w:r>
        <w:rPr>
          <w:rFonts w:ascii="Arial" w:hAnsi="Arial"/>
          <w:noProof/>
          <w:color w:val="002060"/>
          <w:sz w:val="22"/>
          <w:szCs w:val="22"/>
        </w:rPr>
        <w:t>Major cases closed without a Court judgment in 2017</w:t>
      </w:r>
    </w:p>
    <w:p w:rsidR="00E26342" w:rsidRDefault="00040788">
      <w:pPr>
        <w:spacing w:before="120" w:after="120"/>
        <w:ind w:firstLine="357"/>
        <w:rPr>
          <w:rFonts w:ascii="Arial" w:hAnsi="Arial" w:cs="Arial"/>
          <w:noProof/>
          <w:sz w:val="20"/>
        </w:rPr>
      </w:pPr>
      <w:r>
        <w:rPr>
          <w:rFonts w:ascii="Arial" w:hAnsi="Arial" w:cs="Arial"/>
          <w:noProof/>
          <w:sz w:val="20"/>
        </w:rPr>
        <w:t>These concerned:</w:t>
      </w:r>
    </w:p>
    <w:p w:rsidR="00E26342" w:rsidRDefault="00040788">
      <w:pPr>
        <w:pStyle w:val="Lijstje2"/>
        <w:spacing w:after="0"/>
        <w:ind w:left="1276" w:hanging="425"/>
        <w:rPr>
          <w:rFonts w:ascii="Arial" w:hAnsi="Arial" w:cs="Arial"/>
          <w:noProof/>
          <w:lang w:val="en-GB"/>
        </w:rPr>
      </w:pPr>
      <w:r>
        <w:rPr>
          <w:rFonts w:ascii="Arial" w:hAnsi="Arial" w:cs="Arial"/>
          <w:noProof/>
          <w:lang w:val="en-GB"/>
        </w:rPr>
        <w:t>non-communication of national measures transposing the:</w:t>
      </w:r>
    </w:p>
    <w:p w:rsidR="00E26342" w:rsidRDefault="00040788">
      <w:pPr>
        <w:numPr>
          <w:ilvl w:val="2"/>
          <w:numId w:val="2"/>
        </w:numPr>
        <w:spacing w:after="200"/>
        <w:ind w:left="1843" w:hanging="425"/>
        <w:contextualSpacing/>
        <w:rPr>
          <w:rFonts w:ascii="Arial" w:hAnsi="Arial" w:cs="Arial"/>
          <w:noProof/>
          <w:sz w:val="20"/>
        </w:rPr>
      </w:pPr>
      <w:r>
        <w:rPr>
          <w:rFonts w:ascii="Arial" w:hAnsi="Arial" w:cs="Arial"/>
          <w:noProof/>
          <w:sz w:val="20"/>
        </w:rPr>
        <w:t>Public Procurement Directive</w:t>
      </w:r>
      <w:r>
        <w:rPr>
          <w:rStyle w:val="FootnoteReference"/>
          <w:noProof/>
        </w:rPr>
        <w:footnoteReference w:id="60"/>
      </w:r>
      <w:r>
        <w:rPr>
          <w:rFonts w:ascii="Arial" w:hAnsi="Arial" w:cs="Arial"/>
          <w:i/>
          <w:noProof/>
          <w:sz w:val="20"/>
        </w:rPr>
        <w:t>;</w:t>
      </w:r>
    </w:p>
    <w:p w:rsidR="00E26342" w:rsidRDefault="00040788">
      <w:pPr>
        <w:numPr>
          <w:ilvl w:val="2"/>
          <w:numId w:val="2"/>
        </w:numPr>
        <w:spacing w:after="200"/>
        <w:ind w:left="1843" w:hanging="425"/>
        <w:contextualSpacing/>
        <w:rPr>
          <w:rFonts w:ascii="Arial" w:hAnsi="Arial" w:cs="Arial"/>
          <w:noProof/>
          <w:sz w:val="20"/>
        </w:rPr>
      </w:pPr>
      <w:r>
        <w:rPr>
          <w:rFonts w:ascii="Arial" w:hAnsi="Arial" w:cs="Arial"/>
          <w:noProof/>
          <w:sz w:val="20"/>
        </w:rPr>
        <w:t xml:space="preserve">Directive on </w:t>
      </w:r>
      <w:r>
        <w:rPr>
          <w:rFonts w:ascii="Arial" w:hAnsi="Arial" w:cs="Arial"/>
          <w:noProof/>
          <w:sz w:val="20"/>
        </w:rPr>
        <w:t>the award of concession contracts</w:t>
      </w:r>
      <w:r>
        <w:rPr>
          <w:rStyle w:val="FootnoteReference"/>
          <w:noProof/>
        </w:rPr>
        <w:footnoteReference w:id="61"/>
      </w:r>
      <w:r>
        <w:rPr>
          <w:rFonts w:ascii="Arial" w:hAnsi="Arial" w:cs="Arial"/>
          <w:i/>
          <w:noProof/>
          <w:sz w:val="20"/>
        </w:rPr>
        <w:t>;</w:t>
      </w:r>
    </w:p>
    <w:p w:rsidR="00E26342" w:rsidRDefault="00040788">
      <w:pPr>
        <w:numPr>
          <w:ilvl w:val="2"/>
          <w:numId w:val="2"/>
        </w:numPr>
        <w:spacing w:after="200"/>
        <w:ind w:left="1843" w:hanging="425"/>
        <w:contextualSpacing/>
        <w:rPr>
          <w:rFonts w:ascii="Arial" w:hAnsi="Arial" w:cs="Arial"/>
          <w:noProof/>
          <w:sz w:val="20"/>
        </w:rPr>
      </w:pPr>
      <w:r>
        <w:rPr>
          <w:rFonts w:ascii="Arial" w:hAnsi="Arial" w:cs="Arial"/>
          <w:noProof/>
          <w:sz w:val="20"/>
          <w:lang w:eastAsia="en-GB"/>
        </w:rPr>
        <w:t>Directive on procurement by entities operating in the water, energy, transport and postal services sectors</w:t>
      </w:r>
      <w:r>
        <w:rPr>
          <w:rStyle w:val="FootnoteReference"/>
          <w:rFonts w:ascii="Arial" w:hAnsi="Arial" w:cs="Arial"/>
          <w:noProof/>
          <w:sz w:val="20"/>
          <w:lang w:eastAsia="en-GB"/>
        </w:rPr>
        <w:footnoteReference w:id="62"/>
      </w:r>
      <w:r>
        <w:rPr>
          <w:rFonts w:ascii="Arial" w:hAnsi="Arial" w:cs="Arial"/>
          <w:noProof/>
          <w:sz w:val="20"/>
          <w:lang w:eastAsia="en-GB"/>
        </w:rPr>
        <w:t>;</w:t>
      </w:r>
    </w:p>
    <w:p w:rsidR="00E26342" w:rsidRDefault="00040788">
      <w:pPr>
        <w:numPr>
          <w:ilvl w:val="2"/>
          <w:numId w:val="2"/>
        </w:numPr>
        <w:spacing w:after="200"/>
        <w:ind w:left="1843" w:hanging="425"/>
        <w:contextualSpacing/>
        <w:rPr>
          <w:rFonts w:ascii="Arial" w:hAnsi="Arial" w:cs="Arial"/>
          <w:noProof/>
          <w:sz w:val="20"/>
        </w:rPr>
      </w:pPr>
      <w:r>
        <w:rPr>
          <w:rFonts w:ascii="Arial" w:hAnsi="Arial" w:cs="Arial"/>
          <w:bCs/>
          <w:noProof/>
          <w:sz w:val="20"/>
        </w:rPr>
        <w:t>‘Qualifications’ Directive</w:t>
      </w:r>
      <w:r>
        <w:rPr>
          <w:rStyle w:val="FootnoteReference"/>
          <w:rFonts w:ascii="Arial" w:hAnsi="Arial" w:cs="Arial"/>
          <w:bCs/>
          <w:noProof/>
          <w:sz w:val="20"/>
        </w:rPr>
        <w:footnoteReference w:id="63"/>
      </w:r>
      <w:r>
        <w:rPr>
          <w:rFonts w:ascii="Arial" w:hAnsi="Arial" w:cs="Arial"/>
          <w:bCs/>
          <w:noProof/>
          <w:sz w:val="20"/>
        </w:rPr>
        <w:t>;</w:t>
      </w:r>
    </w:p>
    <w:p w:rsidR="00E26342" w:rsidRDefault="00040788">
      <w:pPr>
        <w:numPr>
          <w:ilvl w:val="2"/>
          <w:numId w:val="2"/>
        </w:numPr>
        <w:spacing w:after="200"/>
        <w:ind w:left="1843" w:hanging="425"/>
        <w:contextualSpacing/>
        <w:rPr>
          <w:rFonts w:ascii="Arial" w:hAnsi="Arial" w:cs="Arial"/>
          <w:noProof/>
          <w:sz w:val="20"/>
        </w:rPr>
      </w:pPr>
      <w:r>
        <w:rPr>
          <w:rFonts w:ascii="Arial" w:hAnsi="Arial" w:cs="Arial"/>
          <w:noProof/>
          <w:sz w:val="20"/>
        </w:rPr>
        <w:t>Directive on seasonal workers</w:t>
      </w:r>
      <w:r>
        <w:rPr>
          <w:rStyle w:val="FootnoteReference"/>
          <w:rFonts w:ascii="Arial" w:hAnsi="Arial" w:cs="Arial"/>
          <w:noProof/>
          <w:sz w:val="20"/>
        </w:rPr>
        <w:footnoteReference w:id="64"/>
      </w:r>
      <w:r>
        <w:rPr>
          <w:rFonts w:ascii="Arial" w:hAnsi="Arial" w:cs="Arial"/>
          <w:noProof/>
          <w:sz w:val="20"/>
        </w:rPr>
        <w:t>;</w:t>
      </w:r>
    </w:p>
    <w:p w:rsidR="00E26342" w:rsidRDefault="00040788">
      <w:pPr>
        <w:numPr>
          <w:ilvl w:val="2"/>
          <w:numId w:val="2"/>
        </w:numPr>
        <w:spacing w:after="200"/>
        <w:ind w:left="1843" w:hanging="425"/>
        <w:contextualSpacing/>
        <w:rPr>
          <w:rFonts w:ascii="Arial" w:hAnsi="Arial" w:cs="Arial"/>
          <w:noProof/>
          <w:sz w:val="20"/>
        </w:rPr>
      </w:pPr>
      <w:r>
        <w:rPr>
          <w:rFonts w:ascii="Arial" w:hAnsi="Arial" w:cs="Arial"/>
          <w:noProof/>
          <w:sz w:val="20"/>
        </w:rPr>
        <w:t>Solvency II Directive</w:t>
      </w:r>
      <w:r>
        <w:rPr>
          <w:rStyle w:val="FootnoteReference"/>
          <w:noProof/>
        </w:rPr>
        <w:footnoteReference w:id="65"/>
      </w:r>
      <w:r>
        <w:rPr>
          <w:rFonts w:ascii="Arial" w:hAnsi="Arial" w:cs="Arial"/>
          <w:noProof/>
          <w:sz w:val="20"/>
        </w:rPr>
        <w:t>;</w:t>
      </w:r>
    </w:p>
    <w:p w:rsidR="00E26342" w:rsidRDefault="00040788">
      <w:pPr>
        <w:numPr>
          <w:ilvl w:val="2"/>
          <w:numId w:val="2"/>
        </w:numPr>
        <w:spacing w:after="200"/>
        <w:ind w:left="1843" w:hanging="425"/>
        <w:contextualSpacing/>
        <w:rPr>
          <w:rFonts w:ascii="Arial" w:hAnsi="Arial" w:cs="Arial"/>
          <w:noProof/>
          <w:sz w:val="20"/>
        </w:rPr>
      </w:pPr>
      <w:r>
        <w:rPr>
          <w:rFonts w:ascii="Arial" w:hAnsi="Arial" w:cs="Arial"/>
          <w:noProof/>
          <w:sz w:val="20"/>
        </w:rPr>
        <w:t xml:space="preserve">Omnibus II Directive, in </w:t>
      </w:r>
      <w:r>
        <w:rPr>
          <w:rFonts w:ascii="Arial" w:hAnsi="Arial" w:cs="Arial"/>
          <w:noProof/>
          <w:sz w:val="20"/>
        </w:rPr>
        <w:t>respect of the powers of the European Insurance and Occupational Pensions Authority and the European Securities and Markets Authority</w:t>
      </w:r>
      <w:r>
        <w:rPr>
          <w:rStyle w:val="FootnoteReference"/>
          <w:noProof/>
        </w:rPr>
        <w:footnoteReference w:id="66"/>
      </w:r>
      <w:r>
        <w:rPr>
          <w:rFonts w:ascii="Arial" w:hAnsi="Arial" w:cs="Arial"/>
          <w:noProof/>
          <w:sz w:val="20"/>
        </w:rPr>
        <w:t>;</w:t>
      </w:r>
    </w:p>
    <w:p w:rsidR="00E26342" w:rsidRDefault="00040788">
      <w:pPr>
        <w:numPr>
          <w:ilvl w:val="2"/>
          <w:numId w:val="2"/>
        </w:numPr>
        <w:spacing w:after="200"/>
        <w:ind w:left="1843" w:hanging="425"/>
        <w:contextualSpacing/>
        <w:rPr>
          <w:rFonts w:ascii="Arial" w:hAnsi="Arial" w:cs="Arial"/>
          <w:noProof/>
          <w:sz w:val="20"/>
        </w:rPr>
      </w:pPr>
      <w:r>
        <w:rPr>
          <w:rFonts w:ascii="Arial" w:hAnsi="Arial" w:cs="Arial"/>
          <w:noProof/>
          <w:sz w:val="20"/>
        </w:rPr>
        <w:t>Accounting Directive</w:t>
      </w:r>
      <w:r>
        <w:rPr>
          <w:rStyle w:val="FootnoteReference"/>
          <w:noProof/>
        </w:rPr>
        <w:footnoteReference w:id="67"/>
      </w:r>
      <w:r>
        <w:rPr>
          <w:rFonts w:ascii="Arial" w:hAnsi="Arial" w:cs="Arial"/>
          <w:noProof/>
          <w:sz w:val="20"/>
        </w:rPr>
        <w:t>;</w:t>
      </w:r>
    </w:p>
    <w:p w:rsidR="00E26342" w:rsidRDefault="00040788">
      <w:pPr>
        <w:numPr>
          <w:ilvl w:val="2"/>
          <w:numId w:val="2"/>
        </w:numPr>
        <w:spacing w:after="0"/>
        <w:ind w:left="1843" w:hanging="425"/>
        <w:contextualSpacing/>
        <w:rPr>
          <w:rFonts w:ascii="Arial" w:hAnsi="Arial" w:cs="Arial"/>
          <w:noProof/>
          <w:sz w:val="20"/>
        </w:rPr>
      </w:pPr>
      <w:r>
        <w:rPr>
          <w:rFonts w:ascii="Arial" w:hAnsi="Arial" w:cs="Arial"/>
          <w:noProof/>
          <w:sz w:val="20"/>
        </w:rPr>
        <w:t>Directive on deposit guarantee schemes</w:t>
      </w:r>
      <w:r>
        <w:rPr>
          <w:rStyle w:val="FootnoteReference"/>
          <w:rFonts w:ascii="Arial" w:hAnsi="Arial" w:cs="Arial"/>
          <w:noProof/>
          <w:sz w:val="20"/>
        </w:rPr>
        <w:footnoteReference w:id="68"/>
      </w:r>
      <w:r>
        <w:rPr>
          <w:rFonts w:ascii="Arial" w:hAnsi="Arial" w:cs="Arial"/>
          <w:noProof/>
          <w:sz w:val="20"/>
        </w:rPr>
        <w:t xml:space="preserve">; </w:t>
      </w:r>
    </w:p>
    <w:p w:rsidR="00E26342" w:rsidRDefault="00040788">
      <w:pPr>
        <w:pStyle w:val="Lijstje2"/>
        <w:spacing w:after="0"/>
        <w:ind w:left="1276" w:hanging="425"/>
        <w:rPr>
          <w:rFonts w:ascii="Arial" w:hAnsi="Arial" w:cs="Arial"/>
          <w:noProof/>
          <w:lang w:val="en-GB"/>
        </w:rPr>
      </w:pPr>
      <w:r>
        <w:rPr>
          <w:rFonts w:ascii="Arial" w:hAnsi="Arial" w:cs="Arial"/>
          <w:noProof/>
          <w:lang w:val="en-GB"/>
        </w:rPr>
        <w:t>failure to develop and report on the programmes of meas</w:t>
      </w:r>
      <w:r>
        <w:rPr>
          <w:rFonts w:ascii="Arial" w:hAnsi="Arial" w:cs="Arial"/>
          <w:noProof/>
          <w:lang w:val="en-GB"/>
        </w:rPr>
        <w:t>ures required by the Marine Strategy Framework Directive</w:t>
      </w:r>
      <w:r>
        <w:rPr>
          <w:rStyle w:val="FootnoteReference"/>
          <w:rFonts w:ascii="Arial" w:hAnsi="Arial" w:cs="Arial"/>
          <w:noProof/>
          <w:lang w:val="en-GB"/>
        </w:rPr>
        <w:footnoteReference w:id="69"/>
      </w:r>
      <w:r>
        <w:rPr>
          <w:rFonts w:ascii="Arial" w:hAnsi="Arial" w:cs="Arial"/>
          <w:noProof/>
          <w:lang w:val="en-GB"/>
        </w:rPr>
        <w:t>.</w:t>
      </w:r>
    </w:p>
    <w:p w:rsidR="00E26342" w:rsidRDefault="00040788">
      <w:pPr>
        <w:pStyle w:val="kop2"/>
        <w:numPr>
          <w:ilvl w:val="0"/>
          <w:numId w:val="55"/>
        </w:numPr>
        <w:spacing w:before="360" w:after="240"/>
        <w:ind w:left="709" w:hanging="425"/>
        <w:rPr>
          <w:noProof/>
        </w:rPr>
      </w:pPr>
      <w:r>
        <w:rPr>
          <w:noProof/>
        </w:rPr>
        <w:t xml:space="preserve"> IMPORTANT JUDGMENTS</w:t>
      </w:r>
    </w:p>
    <w:p w:rsidR="00E26342" w:rsidRDefault="00040788">
      <w:pPr>
        <w:pStyle w:val="AnnualReport2"/>
        <w:numPr>
          <w:ilvl w:val="0"/>
          <w:numId w:val="93"/>
        </w:numPr>
        <w:ind w:left="709" w:hanging="425"/>
        <w:rPr>
          <w:noProof/>
        </w:rPr>
      </w:pPr>
      <w:r>
        <w:rPr>
          <w:noProof/>
        </w:rPr>
        <w:t>Court ruling</w:t>
      </w:r>
    </w:p>
    <w:p w:rsidR="00E26342" w:rsidRDefault="00040788">
      <w:pPr>
        <w:spacing w:after="120"/>
        <w:ind w:firstLine="709"/>
        <w:rPr>
          <w:rFonts w:ascii="Arial" w:hAnsi="Arial" w:cs="Arial"/>
          <w:noProof/>
          <w:sz w:val="20"/>
        </w:rPr>
      </w:pPr>
      <w:r>
        <w:rPr>
          <w:rFonts w:ascii="Arial" w:hAnsi="Arial" w:cs="Arial"/>
          <w:noProof/>
          <w:sz w:val="20"/>
        </w:rPr>
        <w:t>There were no major Court rulings in 2017.</w:t>
      </w:r>
    </w:p>
    <w:p w:rsidR="00E26342" w:rsidRDefault="00040788">
      <w:pPr>
        <w:pStyle w:val="Subtitle"/>
        <w:rPr>
          <w:noProof/>
        </w:rPr>
      </w:pPr>
      <w:r>
        <w:rPr>
          <w:noProof/>
        </w:rPr>
        <w:t>Preliminary rulings</w:t>
      </w:r>
    </w:p>
    <w:p w:rsidR="00E26342" w:rsidRDefault="00040788">
      <w:pPr>
        <w:spacing w:after="120"/>
        <w:ind w:firstLine="709"/>
        <w:rPr>
          <w:rFonts w:ascii="Arial" w:hAnsi="Arial" w:cs="Arial"/>
          <w:noProof/>
          <w:sz w:val="20"/>
        </w:rPr>
      </w:pPr>
      <w:r>
        <w:rPr>
          <w:rFonts w:ascii="Arial" w:hAnsi="Arial" w:cs="Arial"/>
          <w:noProof/>
          <w:sz w:val="20"/>
        </w:rPr>
        <w:t xml:space="preserve">The Court addressed the following preliminary ruling to the Maltese judiciary. </w:t>
      </w:r>
    </w:p>
    <w:p w:rsidR="00E26342" w:rsidRDefault="00040788">
      <w:pPr>
        <w:pStyle w:val="Lijstje2"/>
        <w:ind w:left="1276" w:hanging="425"/>
        <w:rPr>
          <w:rFonts w:ascii="Arial" w:hAnsi="Arial" w:cs="Arial"/>
          <w:noProof/>
          <w:lang w:val="en-GB"/>
        </w:rPr>
      </w:pPr>
      <w:r>
        <w:rPr>
          <w:rFonts w:ascii="Arial" w:hAnsi="Arial" w:cs="Arial"/>
          <w:noProof/>
          <w:lang w:val="en-GB"/>
        </w:rPr>
        <w:t xml:space="preserve">National rules </w:t>
      </w:r>
      <w:r>
        <w:rPr>
          <w:rFonts w:ascii="Arial" w:hAnsi="Arial" w:cs="Arial"/>
          <w:noProof/>
          <w:lang w:val="en-GB"/>
        </w:rPr>
        <w:t>requiring dental technicians to perform their activities in collaboration with a dental practitioner are not inconsistent with EU rules on recognition of professional qualifications</w:t>
      </w:r>
      <w:r>
        <w:rPr>
          <w:rStyle w:val="FootnoteReference"/>
          <w:rFonts w:ascii="Arial" w:hAnsi="Arial" w:cs="Arial"/>
          <w:noProof/>
          <w:lang w:val="en-GB"/>
        </w:rPr>
        <w:footnoteReference w:id="70"/>
      </w:r>
      <w:r>
        <w:rPr>
          <w:rFonts w:ascii="Arial" w:hAnsi="Arial" w:cs="Arial"/>
          <w:noProof/>
          <w:lang w:val="en-GB"/>
        </w:rPr>
        <w:t>.</w:t>
      </w:r>
    </w:p>
    <w:p w:rsidR="00E26342" w:rsidRDefault="00E26342">
      <w:pPr>
        <w:spacing w:after="0"/>
        <w:jc w:val="left"/>
        <w:rPr>
          <w:noProof/>
        </w:rPr>
        <w:sectPr w:rsidR="00E26342">
          <w:headerReference w:type="even" r:id="rId64"/>
          <w:headerReference w:type="default" r:id="rId65"/>
          <w:footerReference w:type="even" r:id="rId66"/>
          <w:footerReference w:type="default" r:id="rId67"/>
          <w:headerReference w:type="first" r:id="rId68"/>
          <w:footerReference w:type="first" r:id="rId69"/>
          <w:footnotePr>
            <w:numRestart w:val="eachSect"/>
          </w:footnotePr>
          <w:pgSz w:w="11906" w:h="16838"/>
          <w:pgMar w:top="1843" w:right="1417" w:bottom="1134" w:left="1417" w:header="567" w:footer="351" w:gutter="0"/>
          <w:cols w:space="708"/>
          <w:titlePg/>
          <w:docGrid w:linePitch="360"/>
        </w:sectPr>
      </w:pPr>
    </w:p>
    <w:p w:rsidR="00E26342" w:rsidRDefault="00040788">
      <w:pPr>
        <w:pStyle w:val="Heading1"/>
        <w:rPr>
          <w:noProof/>
        </w:rPr>
      </w:pPr>
      <w:bookmarkStart w:id="21" w:name="_Toc475974657"/>
      <w:bookmarkStart w:id="22" w:name="_Toc475980153"/>
      <w:bookmarkStart w:id="23" w:name="_Toc475981402"/>
      <w:bookmarkStart w:id="24" w:name="_Toc484622335"/>
      <w:bookmarkStart w:id="25" w:name="_Toc510015284"/>
      <w:r>
        <w:rPr>
          <w:noProof/>
        </w:rPr>
        <w:t>Netherlands</w:t>
      </w:r>
      <w:bookmarkEnd w:id="21"/>
      <w:bookmarkEnd w:id="22"/>
      <w:bookmarkEnd w:id="23"/>
      <w:bookmarkEnd w:id="24"/>
      <w:bookmarkEnd w:id="25"/>
    </w:p>
    <w:p w:rsidR="00E26342" w:rsidRDefault="00040788">
      <w:pPr>
        <w:pStyle w:val="kop2"/>
        <w:numPr>
          <w:ilvl w:val="0"/>
          <w:numId w:val="57"/>
        </w:numPr>
        <w:ind w:left="709" w:hanging="425"/>
        <w:rPr>
          <w:noProof/>
        </w:rPr>
      </w:pPr>
      <w:r>
        <w:rPr>
          <w:noProof/>
        </w:rPr>
        <w:t>COMPLAINTS</w:t>
      </w:r>
    </w:p>
    <w:p w:rsidR="00E26342" w:rsidRDefault="00040788">
      <w:pPr>
        <w:pStyle w:val="AnnualReport2"/>
        <w:numPr>
          <w:ilvl w:val="0"/>
          <w:numId w:val="86"/>
        </w:numPr>
        <w:ind w:left="709" w:hanging="425"/>
        <w:rPr>
          <w:noProof/>
        </w:rPr>
      </w:pPr>
      <w:r>
        <w:rPr>
          <w:noProof/>
        </w:rPr>
        <w:t xml:space="preserve">New complaints made against the Netherlands by members of </w:t>
      </w:r>
      <w:r>
        <w:rPr>
          <w:noProof/>
        </w:rPr>
        <w:t>the public (2013-2017)</w:t>
      </w:r>
    </w:p>
    <w:p w:rsidR="00E26342" w:rsidRDefault="00040788">
      <w:pPr>
        <w:ind w:firstLine="709"/>
        <w:rPr>
          <w:rFonts w:ascii="Arial" w:hAnsi="Arial" w:cs="Arial"/>
          <w:noProof/>
          <w:sz w:val="20"/>
        </w:rPr>
      </w:pPr>
      <w:r>
        <w:rPr>
          <w:rFonts w:ascii="Arial" w:hAnsi="Arial" w:cs="Arial"/>
          <w:noProof/>
          <w:sz w:val="20"/>
          <w:lang w:eastAsia="en-GB"/>
        </w:rPr>
        <w:drawing>
          <wp:inline distT="0" distB="0" distL="0" distR="0" wp14:anchorId="550CC497" wp14:editId="65DEC2B3">
            <wp:extent cx="4580255" cy="2194560"/>
            <wp:effectExtent l="0" t="0" r="10795" b="15240"/>
            <wp:docPr id="8"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E26342" w:rsidRDefault="00040788">
      <w:pPr>
        <w:pStyle w:val="AnnualReport2"/>
        <w:numPr>
          <w:ilvl w:val="0"/>
          <w:numId w:val="86"/>
        </w:numPr>
        <w:ind w:left="709" w:hanging="425"/>
        <w:rPr>
          <w:noProof/>
        </w:rPr>
      </w:pPr>
      <w:r>
        <w:rPr>
          <w:noProof/>
        </w:rPr>
        <w:t>Public complaints against the Netherlands open at year-end</w:t>
      </w:r>
    </w:p>
    <w:tbl>
      <w:tblPr>
        <w:tblW w:w="0" w:type="auto"/>
        <w:jc w:val="center"/>
        <w:tblLook w:val="04A0" w:firstRow="1" w:lastRow="0" w:firstColumn="1" w:lastColumn="0" w:noHBand="0" w:noVBand="1"/>
      </w:tblPr>
      <w:tblGrid>
        <w:gridCol w:w="1697"/>
        <w:gridCol w:w="452"/>
        <w:gridCol w:w="5310"/>
      </w:tblGrid>
      <w:tr w:rsidR="00E26342">
        <w:trPr>
          <w:trHeight w:val="403"/>
          <w:jc w:val="center"/>
        </w:trPr>
        <w:tc>
          <w:tcPr>
            <w:tcW w:w="1697" w:type="dxa"/>
            <w:shd w:val="clear" w:color="auto" w:fill="auto"/>
            <w:vAlign w:val="center"/>
          </w:tcPr>
          <w:p w:rsidR="00E26342" w:rsidRDefault="00040788">
            <w:pPr>
              <w:spacing w:after="0"/>
              <w:jc w:val="right"/>
              <w:rPr>
                <w:rFonts w:ascii="Arial" w:hAnsi="Arial" w:cs="Arial"/>
                <w:noProof/>
                <w:color w:val="548DD4"/>
                <w:sz w:val="22"/>
                <w:szCs w:val="22"/>
                <w:lang w:eastAsia="en-GB"/>
              </w:rPr>
            </w:pPr>
            <w:r>
              <w:rPr>
                <w:rFonts w:ascii="Arial" w:hAnsi="Arial" w:cs="Arial"/>
                <w:noProof/>
                <w:color w:val="C00000"/>
                <w:sz w:val="22"/>
                <w:szCs w:val="22"/>
                <w:lang w:eastAsia="en-GB"/>
              </w:rPr>
              <w:t>74</w:t>
            </w:r>
          </w:p>
        </w:tc>
        <w:tc>
          <w:tcPr>
            <w:tcW w:w="452" w:type="dxa"/>
            <w:shd w:val="clear" w:color="auto" w:fill="auto"/>
            <w:vAlign w:val="center"/>
          </w:tcPr>
          <w:p w:rsidR="00E26342" w:rsidRDefault="00040788">
            <w:pPr>
              <w:spacing w:after="0"/>
              <w:jc w:val="right"/>
              <w:rPr>
                <w:rFonts w:ascii="Arial" w:hAnsi="Arial" w:cs="Arial"/>
                <w:noProof/>
                <w:color w:val="548DD4"/>
                <w:sz w:val="22"/>
                <w:szCs w:val="22"/>
                <w:lang w:eastAsia="en-GB"/>
              </w:rPr>
            </w:pPr>
            <w:r>
              <w:rPr>
                <w:rFonts w:ascii="Arial" w:hAnsi="Arial" w:cs="Arial"/>
                <w:noProof/>
                <w:color w:val="548DD4"/>
                <w:sz w:val="22"/>
                <w:szCs w:val="22"/>
                <w:lang w:eastAsia="en-GB"/>
              </w:rPr>
              <w:t>&gt;</w:t>
            </w:r>
          </w:p>
        </w:tc>
        <w:tc>
          <w:tcPr>
            <w:tcW w:w="5310" w:type="dxa"/>
            <w:shd w:val="clear" w:color="auto" w:fill="auto"/>
            <w:vAlign w:val="center"/>
          </w:tcPr>
          <w:p w:rsidR="00E26342" w:rsidRDefault="00040788">
            <w:pPr>
              <w:spacing w:after="0"/>
              <w:jc w:val="left"/>
              <w:rPr>
                <w:rFonts w:ascii="Arial" w:hAnsi="Arial" w:cs="Arial"/>
                <w:noProof/>
                <w:color w:val="548DD4"/>
                <w:sz w:val="22"/>
                <w:szCs w:val="22"/>
                <w:lang w:eastAsia="en-GB"/>
              </w:rPr>
            </w:pPr>
            <w:r>
              <w:rPr>
                <w:rFonts w:ascii="Arial" w:hAnsi="Arial" w:cs="Arial"/>
                <w:noProof/>
                <w:color w:val="548DD4"/>
                <w:sz w:val="22"/>
                <w:szCs w:val="22"/>
                <w:lang w:eastAsia="en-GB"/>
              </w:rPr>
              <w:t>Complaints open at end-2016</w:t>
            </w:r>
          </w:p>
        </w:tc>
      </w:tr>
      <w:tr w:rsidR="00E26342">
        <w:trPr>
          <w:trHeight w:val="403"/>
          <w:jc w:val="center"/>
        </w:trPr>
        <w:tc>
          <w:tcPr>
            <w:tcW w:w="1697" w:type="dxa"/>
            <w:shd w:val="clear" w:color="auto" w:fill="auto"/>
            <w:vAlign w:val="center"/>
          </w:tcPr>
          <w:p w:rsidR="00E26342" w:rsidRDefault="00040788">
            <w:pPr>
              <w:spacing w:after="0"/>
              <w:jc w:val="right"/>
              <w:rPr>
                <w:rFonts w:ascii="Arial" w:hAnsi="Arial" w:cs="Arial"/>
                <w:noProof/>
                <w:color w:val="548DD4"/>
                <w:sz w:val="22"/>
                <w:szCs w:val="22"/>
                <w:lang w:eastAsia="en-GB"/>
              </w:rPr>
            </w:pPr>
            <w:r>
              <w:rPr>
                <w:rFonts w:ascii="Arial" w:hAnsi="Arial" w:cs="Arial"/>
                <w:noProof/>
                <w:color w:val="548DD4"/>
                <w:sz w:val="22"/>
                <w:szCs w:val="22"/>
                <w:lang w:eastAsia="en-GB"/>
              </w:rPr>
              <w:t>85</w:t>
            </w:r>
          </w:p>
        </w:tc>
        <w:tc>
          <w:tcPr>
            <w:tcW w:w="452" w:type="dxa"/>
            <w:shd w:val="clear" w:color="auto" w:fill="auto"/>
            <w:vAlign w:val="center"/>
          </w:tcPr>
          <w:p w:rsidR="00E26342" w:rsidRDefault="00040788">
            <w:pPr>
              <w:spacing w:after="0"/>
              <w:jc w:val="right"/>
              <w:rPr>
                <w:rFonts w:ascii="Arial" w:hAnsi="Arial" w:cs="Arial"/>
                <w:noProof/>
                <w:color w:val="548DD4"/>
                <w:sz w:val="22"/>
                <w:szCs w:val="22"/>
                <w:lang w:eastAsia="en-GB"/>
              </w:rPr>
            </w:pPr>
            <w:r>
              <w:rPr>
                <w:rFonts w:ascii="Arial" w:hAnsi="Arial" w:cs="Arial"/>
                <w:noProof/>
                <w:color w:val="548DD4"/>
                <w:sz w:val="22"/>
                <w:szCs w:val="22"/>
                <w:lang w:eastAsia="en-GB"/>
              </w:rPr>
              <w:t>&gt;</w:t>
            </w:r>
          </w:p>
        </w:tc>
        <w:tc>
          <w:tcPr>
            <w:tcW w:w="5310" w:type="dxa"/>
            <w:shd w:val="clear" w:color="auto" w:fill="auto"/>
            <w:vAlign w:val="center"/>
          </w:tcPr>
          <w:p w:rsidR="00E26342" w:rsidRDefault="00040788">
            <w:pPr>
              <w:spacing w:after="0"/>
              <w:jc w:val="left"/>
              <w:rPr>
                <w:rFonts w:ascii="Arial" w:hAnsi="Arial" w:cs="Arial"/>
                <w:noProof/>
                <w:color w:val="548DD4"/>
                <w:sz w:val="22"/>
                <w:szCs w:val="22"/>
                <w:lang w:eastAsia="en-GB"/>
              </w:rPr>
            </w:pPr>
            <w:r>
              <w:rPr>
                <w:rFonts w:ascii="Arial" w:hAnsi="Arial" w:cs="Arial"/>
                <w:noProof/>
                <w:color w:val="548DD4"/>
                <w:sz w:val="22"/>
                <w:szCs w:val="22"/>
                <w:lang w:eastAsia="en-GB"/>
              </w:rPr>
              <w:t>New complaints registered in 2017</w:t>
            </w:r>
          </w:p>
        </w:tc>
      </w:tr>
      <w:tr w:rsidR="00E26342">
        <w:trPr>
          <w:trHeight w:val="403"/>
          <w:jc w:val="center"/>
        </w:trPr>
        <w:tc>
          <w:tcPr>
            <w:tcW w:w="1697" w:type="dxa"/>
            <w:tcBorders>
              <w:bottom w:val="single" w:sz="24" w:space="0" w:color="548DD4"/>
            </w:tcBorders>
            <w:shd w:val="clear" w:color="auto" w:fill="auto"/>
            <w:vAlign w:val="center"/>
          </w:tcPr>
          <w:p w:rsidR="00E26342" w:rsidRDefault="00040788">
            <w:pPr>
              <w:spacing w:after="0"/>
              <w:jc w:val="right"/>
              <w:rPr>
                <w:rFonts w:ascii="Arial" w:hAnsi="Arial" w:cs="Arial"/>
                <w:noProof/>
                <w:color w:val="548DD4"/>
                <w:sz w:val="22"/>
                <w:szCs w:val="22"/>
                <w:lang w:eastAsia="en-GB"/>
              </w:rPr>
            </w:pPr>
            <w:r>
              <w:rPr>
                <w:rFonts w:ascii="Arial" w:hAnsi="Arial" w:cs="Arial"/>
                <w:noProof/>
                <w:color w:val="548DD4"/>
                <w:sz w:val="22"/>
                <w:szCs w:val="22"/>
                <w:lang w:eastAsia="en-GB"/>
              </w:rPr>
              <w:t>91</w:t>
            </w:r>
          </w:p>
        </w:tc>
        <w:tc>
          <w:tcPr>
            <w:tcW w:w="452" w:type="dxa"/>
            <w:shd w:val="clear" w:color="auto" w:fill="auto"/>
            <w:vAlign w:val="center"/>
          </w:tcPr>
          <w:p w:rsidR="00E26342" w:rsidRDefault="00040788">
            <w:pPr>
              <w:spacing w:after="0"/>
              <w:jc w:val="right"/>
              <w:rPr>
                <w:rFonts w:ascii="Arial" w:hAnsi="Arial" w:cs="Arial"/>
                <w:noProof/>
                <w:color w:val="548DD4"/>
                <w:sz w:val="22"/>
                <w:szCs w:val="22"/>
                <w:lang w:eastAsia="en-GB"/>
              </w:rPr>
            </w:pPr>
            <w:r>
              <w:rPr>
                <w:rFonts w:ascii="Arial" w:hAnsi="Arial" w:cs="Arial"/>
                <w:noProof/>
                <w:color w:val="548DD4"/>
                <w:sz w:val="22"/>
                <w:szCs w:val="22"/>
                <w:lang w:eastAsia="en-GB"/>
              </w:rPr>
              <w:t>&gt;</w:t>
            </w:r>
          </w:p>
        </w:tc>
        <w:tc>
          <w:tcPr>
            <w:tcW w:w="5310" w:type="dxa"/>
            <w:shd w:val="clear" w:color="auto" w:fill="auto"/>
            <w:vAlign w:val="center"/>
          </w:tcPr>
          <w:p w:rsidR="00E26342" w:rsidRDefault="00040788">
            <w:pPr>
              <w:spacing w:after="0"/>
              <w:jc w:val="left"/>
              <w:rPr>
                <w:rFonts w:ascii="Arial" w:hAnsi="Arial" w:cs="Arial"/>
                <w:noProof/>
                <w:color w:val="548DD4"/>
                <w:sz w:val="22"/>
                <w:szCs w:val="22"/>
                <w:lang w:eastAsia="en-GB"/>
              </w:rPr>
            </w:pPr>
            <w:r>
              <w:rPr>
                <w:rFonts w:ascii="Arial" w:hAnsi="Arial" w:cs="Arial"/>
                <w:noProof/>
                <w:color w:val="548DD4"/>
                <w:sz w:val="22"/>
                <w:szCs w:val="22"/>
                <w:lang w:eastAsia="en-GB"/>
              </w:rPr>
              <w:t>Complaints handled in 2017</w:t>
            </w:r>
          </w:p>
        </w:tc>
      </w:tr>
      <w:tr w:rsidR="00E26342">
        <w:trPr>
          <w:trHeight w:val="403"/>
          <w:jc w:val="center"/>
        </w:trPr>
        <w:tc>
          <w:tcPr>
            <w:tcW w:w="1697" w:type="dxa"/>
            <w:tcBorders>
              <w:top w:val="single" w:sz="24" w:space="0" w:color="548DD4"/>
            </w:tcBorders>
            <w:shd w:val="clear" w:color="auto" w:fill="auto"/>
            <w:vAlign w:val="center"/>
          </w:tcPr>
          <w:p w:rsidR="00E26342" w:rsidRDefault="00040788">
            <w:pPr>
              <w:spacing w:after="0"/>
              <w:jc w:val="right"/>
              <w:rPr>
                <w:rFonts w:ascii="Arial" w:hAnsi="Arial" w:cs="Arial"/>
                <w:noProof/>
                <w:color w:val="C00000"/>
                <w:sz w:val="22"/>
                <w:szCs w:val="22"/>
                <w:lang w:eastAsia="en-GB"/>
              </w:rPr>
            </w:pPr>
            <w:r>
              <w:rPr>
                <w:rFonts w:ascii="Arial" w:hAnsi="Arial" w:cs="Arial"/>
                <w:noProof/>
                <w:color w:val="C00000"/>
                <w:sz w:val="22"/>
                <w:szCs w:val="22"/>
                <w:lang w:eastAsia="en-GB"/>
              </w:rPr>
              <w:t>= 68</w:t>
            </w:r>
          </w:p>
        </w:tc>
        <w:tc>
          <w:tcPr>
            <w:tcW w:w="452" w:type="dxa"/>
            <w:shd w:val="clear" w:color="auto" w:fill="auto"/>
            <w:vAlign w:val="center"/>
          </w:tcPr>
          <w:p w:rsidR="00E26342" w:rsidRDefault="00040788">
            <w:pPr>
              <w:spacing w:after="0"/>
              <w:jc w:val="right"/>
              <w:rPr>
                <w:rFonts w:ascii="Arial" w:hAnsi="Arial" w:cs="Arial"/>
                <w:noProof/>
                <w:color w:val="548DD4"/>
                <w:sz w:val="22"/>
                <w:szCs w:val="22"/>
                <w:lang w:eastAsia="en-GB"/>
              </w:rPr>
            </w:pPr>
            <w:r>
              <w:rPr>
                <w:rFonts w:ascii="Arial" w:hAnsi="Arial" w:cs="Arial"/>
                <w:noProof/>
                <w:color w:val="548DD4"/>
                <w:sz w:val="22"/>
                <w:szCs w:val="22"/>
                <w:lang w:eastAsia="en-GB"/>
              </w:rPr>
              <w:t>&gt;</w:t>
            </w:r>
          </w:p>
        </w:tc>
        <w:tc>
          <w:tcPr>
            <w:tcW w:w="5310" w:type="dxa"/>
            <w:shd w:val="clear" w:color="auto" w:fill="auto"/>
            <w:vAlign w:val="center"/>
          </w:tcPr>
          <w:p w:rsidR="00E26342" w:rsidRDefault="00040788">
            <w:pPr>
              <w:spacing w:after="0"/>
              <w:jc w:val="left"/>
              <w:rPr>
                <w:rFonts w:ascii="Arial" w:hAnsi="Arial" w:cs="Arial"/>
                <w:noProof/>
                <w:color w:val="548DD4"/>
                <w:sz w:val="22"/>
                <w:szCs w:val="22"/>
                <w:lang w:eastAsia="en-GB"/>
              </w:rPr>
            </w:pPr>
            <w:r>
              <w:rPr>
                <w:rFonts w:ascii="Arial" w:hAnsi="Arial" w:cs="Arial"/>
                <w:noProof/>
                <w:color w:val="548DD4"/>
                <w:sz w:val="22"/>
                <w:szCs w:val="22"/>
                <w:lang w:eastAsia="en-GB"/>
              </w:rPr>
              <w:t>Complaints open at end-2017</w:t>
            </w:r>
          </w:p>
        </w:tc>
      </w:tr>
    </w:tbl>
    <w:p w:rsidR="00E26342" w:rsidRDefault="00040788">
      <w:pPr>
        <w:pStyle w:val="AnnualReport2"/>
        <w:numPr>
          <w:ilvl w:val="0"/>
          <w:numId w:val="86"/>
        </w:numPr>
        <w:ind w:left="709" w:hanging="425"/>
        <w:rPr>
          <w:noProof/>
        </w:rPr>
      </w:pPr>
      <w:r>
        <w:rPr>
          <w:noProof/>
        </w:rPr>
        <w:t xml:space="preserve">New complaints registered in </w:t>
      </w:r>
      <w:r>
        <w:rPr>
          <w:noProof/>
        </w:rPr>
        <w:t>2017: main policy area</w:t>
      </w:r>
    </w:p>
    <w:p w:rsidR="00E26342" w:rsidRDefault="00040788">
      <w:pPr>
        <w:spacing w:after="120"/>
        <w:ind w:firstLine="709"/>
        <w:rPr>
          <w:rFonts w:ascii="Arial" w:hAnsi="Arial" w:cs="Arial"/>
          <w:noProof/>
          <w:sz w:val="20"/>
        </w:rPr>
      </w:pPr>
      <w:r>
        <w:rPr>
          <w:rFonts w:ascii="Arial" w:hAnsi="Arial" w:cs="Arial"/>
          <w:noProof/>
          <w:sz w:val="20"/>
          <w:lang w:eastAsia="en-GB"/>
        </w:rPr>
        <w:drawing>
          <wp:inline distT="0" distB="0" distL="0" distR="0" wp14:anchorId="2DE031CF" wp14:editId="0CE39171">
            <wp:extent cx="4627880" cy="2425065"/>
            <wp:effectExtent l="0" t="0" r="20320" b="13335"/>
            <wp:docPr id="7" name="Grafiek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E26342" w:rsidRDefault="00040788">
      <w:pPr>
        <w:spacing w:after="200" w:line="276" w:lineRule="auto"/>
        <w:jc w:val="left"/>
        <w:rPr>
          <w:rFonts w:ascii="Arial" w:hAnsi="Arial" w:cs="Arial"/>
          <w:noProof/>
          <w:sz w:val="20"/>
        </w:rPr>
      </w:pPr>
      <w:r>
        <w:rPr>
          <w:noProof/>
        </w:rPr>
        <w:br w:type="page"/>
      </w:r>
    </w:p>
    <w:p w:rsidR="00E26342" w:rsidRDefault="00040788">
      <w:pPr>
        <w:pStyle w:val="AnnualReport1"/>
        <w:spacing w:before="0" w:after="0"/>
        <w:ind w:left="709" w:hanging="425"/>
        <w:rPr>
          <w:noProof/>
        </w:rPr>
      </w:pPr>
      <w:r>
        <w:rPr>
          <w:noProof/>
        </w:rPr>
        <w:t>EU PILOT</w:t>
      </w:r>
    </w:p>
    <w:p w:rsidR="00E26342" w:rsidRDefault="00040788">
      <w:pPr>
        <w:pStyle w:val="AnnualReport2"/>
        <w:numPr>
          <w:ilvl w:val="0"/>
          <w:numId w:val="87"/>
        </w:numPr>
        <w:ind w:left="709" w:hanging="425"/>
        <w:rPr>
          <w:noProof/>
        </w:rPr>
      </w:pPr>
      <w:r>
        <w:rPr>
          <w:noProof/>
        </w:rPr>
        <w:t>New EU Pilot files opened against the Netherlands (2013-2017)</w:t>
      </w:r>
    </w:p>
    <w:p w:rsidR="00E26342" w:rsidRDefault="00040788">
      <w:pPr>
        <w:tabs>
          <w:tab w:val="left" w:pos="0"/>
        </w:tabs>
        <w:ind w:firstLine="709"/>
        <w:rPr>
          <w:rFonts w:ascii="Arial" w:hAnsi="Arial" w:cs="Arial"/>
          <w:noProof/>
          <w:sz w:val="20"/>
        </w:rPr>
      </w:pPr>
      <w:r>
        <w:rPr>
          <w:rFonts w:ascii="Arial" w:hAnsi="Arial" w:cs="Arial"/>
          <w:noProof/>
          <w:sz w:val="20"/>
          <w:lang w:eastAsia="en-GB"/>
        </w:rPr>
        <w:drawing>
          <wp:inline distT="0" distB="0" distL="0" distR="0" wp14:anchorId="114F5B38" wp14:editId="2C6B2B8B">
            <wp:extent cx="4587875" cy="2313940"/>
            <wp:effectExtent l="0" t="0" r="0" b="0"/>
            <wp:docPr id="202"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E26342" w:rsidRDefault="00040788">
      <w:pPr>
        <w:pStyle w:val="AnnualReport2"/>
        <w:numPr>
          <w:ilvl w:val="0"/>
          <w:numId w:val="87"/>
        </w:numPr>
        <w:ind w:left="709" w:hanging="425"/>
        <w:rPr>
          <w:noProof/>
        </w:rPr>
      </w:pPr>
      <w:r>
        <w:rPr>
          <w:noProof/>
        </w:rPr>
        <w:t>Files relating to the Netherlands open in EU Pilot at year-end</w:t>
      </w:r>
    </w:p>
    <w:p w:rsidR="00E26342" w:rsidRDefault="00040788">
      <w:pPr>
        <w:spacing w:after="120"/>
        <w:ind w:firstLine="709"/>
        <w:rPr>
          <w:rFonts w:ascii="Arial" w:hAnsi="Arial" w:cs="Arial"/>
          <w:noProof/>
          <w:sz w:val="20"/>
        </w:rPr>
      </w:pPr>
      <w:r>
        <w:rPr>
          <w:rFonts w:ascii="Arial" w:hAnsi="Arial" w:cs="Arial"/>
          <w:noProof/>
          <w:sz w:val="20"/>
          <w:lang w:eastAsia="en-GB"/>
        </w:rPr>
        <w:drawing>
          <wp:inline distT="0" distB="0" distL="0" distR="0" wp14:anchorId="26722FD1" wp14:editId="05A120DF">
            <wp:extent cx="4587240" cy="2217420"/>
            <wp:effectExtent l="0" t="0" r="22860" b="11430"/>
            <wp:docPr id="203"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E26342" w:rsidRDefault="00040788">
      <w:pPr>
        <w:pStyle w:val="AnnualReport2"/>
        <w:numPr>
          <w:ilvl w:val="0"/>
          <w:numId w:val="87"/>
        </w:numPr>
        <w:ind w:left="709" w:hanging="425"/>
        <w:rPr>
          <w:noProof/>
        </w:rPr>
      </w:pPr>
      <w:r>
        <w:rPr>
          <w:noProof/>
        </w:rPr>
        <w:t>New EU Pilot files opened in 2017: policy areas</w:t>
      </w:r>
    </w:p>
    <w:p w:rsidR="00E26342" w:rsidRDefault="00040788">
      <w:pPr>
        <w:spacing w:after="120"/>
        <w:ind w:firstLine="709"/>
        <w:rPr>
          <w:noProof/>
        </w:rPr>
      </w:pPr>
      <w:r>
        <w:rPr>
          <w:rFonts w:ascii="Arial" w:hAnsi="Arial" w:cs="Arial"/>
          <w:noProof/>
          <w:sz w:val="20"/>
          <w:lang w:eastAsia="en-GB"/>
        </w:rPr>
        <w:drawing>
          <wp:inline distT="0" distB="0" distL="0" distR="0" wp14:anchorId="1176CA7B" wp14:editId="15427E65">
            <wp:extent cx="4643755" cy="2417445"/>
            <wp:effectExtent l="0" t="0" r="23495" b="20955"/>
            <wp:docPr id="5" name="Grafiek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r>
        <w:rPr>
          <w:noProof/>
        </w:rPr>
        <w:br w:type="page"/>
      </w:r>
    </w:p>
    <w:p w:rsidR="00E26342" w:rsidRDefault="00040788">
      <w:pPr>
        <w:pStyle w:val="AnnualReport2"/>
        <w:numPr>
          <w:ilvl w:val="0"/>
          <w:numId w:val="87"/>
        </w:numPr>
        <w:ind w:left="709" w:hanging="425"/>
        <w:rPr>
          <w:noProof/>
        </w:rPr>
      </w:pPr>
      <w:r>
        <w:rPr>
          <w:noProof/>
        </w:rPr>
        <w:t xml:space="preserve">EU Pilot files: Netherlands’ resolution </w:t>
      </w:r>
      <w:r>
        <w:rPr>
          <w:noProof/>
        </w:rPr>
        <w:t>rate in 2013-2017</w:t>
      </w:r>
    </w:p>
    <w:p w:rsidR="00E26342" w:rsidRDefault="00040788">
      <w:pPr>
        <w:spacing w:after="120"/>
        <w:ind w:firstLine="709"/>
        <w:rPr>
          <w:rFonts w:ascii="Arial" w:hAnsi="Arial" w:cs="Arial"/>
          <w:noProof/>
          <w:sz w:val="20"/>
        </w:rPr>
      </w:pPr>
      <w:r>
        <w:rPr>
          <w:rFonts w:ascii="Arial" w:hAnsi="Arial" w:cs="Arial"/>
          <w:noProof/>
          <w:sz w:val="20"/>
          <w:lang w:eastAsia="en-GB"/>
        </w:rPr>
        <w:drawing>
          <wp:inline distT="0" distB="0" distL="0" distR="0" wp14:anchorId="32F79487" wp14:editId="5F09BC7C">
            <wp:extent cx="4643755" cy="2361565"/>
            <wp:effectExtent l="0" t="0" r="23495" b="19685"/>
            <wp:docPr id="205"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E26342" w:rsidRDefault="00040788">
      <w:pPr>
        <w:pStyle w:val="AnnualReport1"/>
        <w:spacing w:after="240"/>
        <w:ind w:left="709" w:hanging="425"/>
        <w:rPr>
          <w:noProof/>
        </w:rPr>
      </w:pPr>
      <w:r>
        <w:rPr>
          <w:noProof/>
        </w:rPr>
        <w:t>INFRINGEMENT CASES</w:t>
      </w:r>
    </w:p>
    <w:p w:rsidR="00E26342" w:rsidRDefault="00040788">
      <w:pPr>
        <w:pStyle w:val="AnnualReport2"/>
        <w:numPr>
          <w:ilvl w:val="0"/>
          <w:numId w:val="88"/>
        </w:numPr>
        <w:ind w:left="709" w:hanging="425"/>
        <w:rPr>
          <w:noProof/>
        </w:rPr>
      </w:pPr>
      <w:r>
        <w:rPr>
          <w:noProof/>
        </w:rPr>
        <w:t>Infringement cases against the Netherlands open on 31 December (2013-2017)</w:t>
      </w:r>
    </w:p>
    <w:p w:rsidR="00E26342" w:rsidRDefault="00040788">
      <w:pPr>
        <w:spacing w:after="120"/>
        <w:ind w:firstLine="709"/>
        <w:rPr>
          <w:rFonts w:ascii="Arial" w:hAnsi="Arial" w:cs="Arial"/>
          <w:noProof/>
          <w:sz w:val="20"/>
        </w:rPr>
      </w:pPr>
      <w:r>
        <w:rPr>
          <w:rFonts w:ascii="Arial" w:hAnsi="Arial" w:cs="Arial"/>
          <w:noProof/>
          <w:sz w:val="20"/>
          <w:lang w:eastAsia="en-GB"/>
        </w:rPr>
        <w:drawing>
          <wp:inline distT="0" distB="0" distL="0" distR="0" wp14:anchorId="1390B8CA" wp14:editId="320DEBC2">
            <wp:extent cx="4580255" cy="2393315"/>
            <wp:effectExtent l="0" t="0" r="0" b="0"/>
            <wp:docPr id="206" name="Grafiek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E26342" w:rsidRDefault="00040788">
      <w:pPr>
        <w:pStyle w:val="AnnualReport2"/>
        <w:numPr>
          <w:ilvl w:val="0"/>
          <w:numId w:val="88"/>
        </w:numPr>
        <w:ind w:left="709" w:hanging="425"/>
        <w:rPr>
          <w:noProof/>
        </w:rPr>
      </w:pPr>
      <w:r>
        <w:rPr>
          <w:noProof/>
        </w:rPr>
        <w:t>New infringement cases opened in 2017: main policy areas</w:t>
      </w:r>
    </w:p>
    <w:p w:rsidR="00E26342" w:rsidRDefault="00040788">
      <w:pPr>
        <w:spacing w:after="120"/>
        <w:ind w:firstLine="709"/>
        <w:rPr>
          <w:rFonts w:ascii="Arial" w:hAnsi="Arial" w:cs="Arial"/>
          <w:noProof/>
          <w:sz w:val="20"/>
        </w:rPr>
      </w:pPr>
      <w:r>
        <w:rPr>
          <w:rFonts w:ascii="Arial" w:hAnsi="Arial" w:cs="Arial"/>
          <w:noProof/>
          <w:sz w:val="20"/>
          <w:lang w:eastAsia="en-GB"/>
        </w:rPr>
        <w:drawing>
          <wp:inline distT="0" distB="0" distL="0" distR="0" wp14:anchorId="5B1A4B2A" wp14:editId="1AC2745C">
            <wp:extent cx="4632960" cy="2319020"/>
            <wp:effectExtent l="0" t="0" r="15240" b="5080"/>
            <wp:docPr id="207" name="Object 20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E26342" w:rsidRDefault="00040788">
      <w:pPr>
        <w:pStyle w:val="AnnualReport2"/>
        <w:numPr>
          <w:ilvl w:val="0"/>
          <w:numId w:val="88"/>
        </w:numPr>
        <w:ind w:left="709" w:hanging="425"/>
        <w:rPr>
          <w:noProof/>
        </w:rPr>
      </w:pPr>
      <w:r>
        <w:rPr>
          <w:noProof/>
        </w:rPr>
        <w:t>Key infringement cases and referrals to the Court</w:t>
      </w:r>
    </w:p>
    <w:p w:rsidR="00E26342" w:rsidRDefault="00040788">
      <w:pPr>
        <w:pStyle w:val="Lijstje"/>
        <w:numPr>
          <w:ilvl w:val="0"/>
          <w:numId w:val="58"/>
        </w:numPr>
        <w:ind w:left="1276" w:hanging="425"/>
        <w:rPr>
          <w:noProof/>
        </w:rPr>
      </w:pPr>
      <w:r>
        <w:rPr>
          <w:noProof/>
        </w:rPr>
        <w:t>The Commission opened 13 new in</w:t>
      </w:r>
      <w:r>
        <w:rPr>
          <w:noProof/>
        </w:rPr>
        <w:t>fringement cases against the Netherlands in 2017. These, and other major ongoing infringement cases, include:</w:t>
      </w:r>
    </w:p>
    <w:p w:rsidR="00E26342" w:rsidRDefault="00040788">
      <w:pPr>
        <w:pStyle w:val="Lijstje2"/>
        <w:ind w:left="1843" w:hanging="425"/>
        <w:rPr>
          <w:rFonts w:ascii="Arial" w:hAnsi="Arial" w:cs="Arial"/>
          <w:noProof/>
          <w:lang w:val="en-GB"/>
        </w:rPr>
      </w:pPr>
      <w:r>
        <w:rPr>
          <w:rFonts w:ascii="Arial" w:hAnsi="Arial" w:cs="Arial"/>
          <w:noProof/>
          <w:lang w:val="en-GB"/>
        </w:rPr>
        <w:t>non-communication of national measures transposing the:</w:t>
      </w:r>
    </w:p>
    <w:p w:rsidR="00E26342" w:rsidRDefault="00040788">
      <w:pPr>
        <w:pStyle w:val="Lijstje2"/>
        <w:numPr>
          <w:ilvl w:val="2"/>
          <w:numId w:val="2"/>
        </w:numPr>
        <w:rPr>
          <w:rFonts w:ascii="Arial" w:hAnsi="Arial" w:cs="Arial"/>
          <w:noProof/>
          <w:lang w:val="en-GB"/>
        </w:rPr>
      </w:pPr>
      <w:r>
        <w:rPr>
          <w:rFonts w:ascii="Arial" w:hAnsi="Arial" w:cs="Arial"/>
          <w:noProof/>
          <w:lang w:val="en-GB"/>
        </w:rPr>
        <w:t>Fourth Anti-Money Laundering Directive</w:t>
      </w:r>
      <w:r>
        <w:rPr>
          <w:rStyle w:val="FootnoteReference"/>
          <w:rFonts w:ascii="Arial" w:hAnsi="Arial" w:cs="Arial"/>
          <w:noProof/>
          <w:lang w:val="en-GB"/>
        </w:rPr>
        <w:footnoteReference w:id="71"/>
      </w:r>
      <w:r>
        <w:rPr>
          <w:rFonts w:ascii="Arial" w:hAnsi="Arial" w:cs="Arial"/>
          <w:noProof/>
          <w:lang w:val="en-GB"/>
        </w:rPr>
        <w:t>;</w:t>
      </w:r>
    </w:p>
    <w:p w:rsidR="00E26342" w:rsidRDefault="00040788">
      <w:pPr>
        <w:pStyle w:val="Lijstje2"/>
        <w:numPr>
          <w:ilvl w:val="2"/>
          <w:numId w:val="2"/>
        </w:numPr>
        <w:rPr>
          <w:rFonts w:ascii="Arial" w:hAnsi="Arial" w:cs="Arial"/>
          <w:noProof/>
          <w:lang w:val="en-GB"/>
        </w:rPr>
      </w:pPr>
      <w:r>
        <w:rPr>
          <w:rFonts w:ascii="Arial" w:hAnsi="Arial" w:cs="Arial"/>
          <w:noProof/>
          <w:lang w:val="en-GB"/>
        </w:rPr>
        <w:t>Markets in Financial Instruments Directive (MiFID</w:t>
      </w:r>
      <w:r>
        <w:rPr>
          <w:rFonts w:ascii="Arial" w:hAnsi="Arial" w:cs="Arial"/>
          <w:noProof/>
          <w:lang w:val="en-GB"/>
        </w:rPr>
        <w:t xml:space="preserve"> II)</w:t>
      </w:r>
      <w:r>
        <w:rPr>
          <w:rStyle w:val="FootnoteReference"/>
          <w:noProof/>
          <w:lang w:val="en-GB"/>
        </w:rPr>
        <w:footnoteReference w:id="72"/>
      </w:r>
      <w:r>
        <w:rPr>
          <w:rFonts w:ascii="Arial" w:hAnsi="Arial" w:cs="Arial"/>
          <w:noProof/>
          <w:lang w:val="en-GB"/>
        </w:rPr>
        <w:t>;</w:t>
      </w:r>
    </w:p>
    <w:p w:rsidR="00E26342" w:rsidRDefault="00040788">
      <w:pPr>
        <w:pStyle w:val="Lijstje2"/>
        <w:numPr>
          <w:ilvl w:val="2"/>
          <w:numId w:val="2"/>
        </w:numPr>
        <w:rPr>
          <w:rFonts w:ascii="Arial" w:hAnsi="Arial" w:cs="Arial"/>
          <w:noProof/>
          <w:lang w:val="en-GB"/>
        </w:rPr>
      </w:pPr>
      <w:r>
        <w:rPr>
          <w:rFonts w:ascii="Arial" w:hAnsi="Arial" w:cs="Arial"/>
          <w:noProof/>
          <w:lang w:val="en-GB"/>
        </w:rPr>
        <w:t>Payment Accounts Directive</w:t>
      </w:r>
      <w:r>
        <w:rPr>
          <w:rStyle w:val="FootnoteReference"/>
          <w:noProof/>
          <w:lang w:val="en-GB"/>
        </w:rPr>
        <w:footnoteReference w:id="73"/>
      </w:r>
      <w:r>
        <w:rPr>
          <w:rFonts w:ascii="Arial" w:hAnsi="Arial" w:cs="Arial"/>
          <w:noProof/>
          <w:lang w:val="en-GB"/>
        </w:rPr>
        <w:t>;</w:t>
      </w:r>
    </w:p>
    <w:p w:rsidR="00E26342" w:rsidRDefault="00040788">
      <w:pPr>
        <w:pStyle w:val="Lijstje2"/>
        <w:ind w:left="1843" w:hanging="425"/>
        <w:rPr>
          <w:rFonts w:ascii="Arial" w:hAnsi="Arial" w:cs="Arial"/>
          <w:noProof/>
          <w:lang w:val="en-GB"/>
        </w:rPr>
      </w:pPr>
      <w:r>
        <w:rPr>
          <w:rFonts w:ascii="Arial" w:hAnsi="Arial" w:cs="Arial"/>
          <w:noProof/>
          <w:lang w:val="en-GB"/>
        </w:rPr>
        <w:t>incorrect transposition and implementation of the Third Energy Package Directives (Electricity and Gas Directive)</w:t>
      </w:r>
      <w:r>
        <w:rPr>
          <w:rStyle w:val="FootnoteReference"/>
          <w:noProof/>
        </w:rPr>
        <w:footnoteReference w:id="74"/>
      </w:r>
      <w:r>
        <w:rPr>
          <w:rFonts w:ascii="Arial" w:hAnsi="Arial" w:cs="Arial"/>
          <w:noProof/>
          <w:lang w:val="en-GB"/>
        </w:rPr>
        <w:t>;</w:t>
      </w:r>
    </w:p>
    <w:p w:rsidR="00E26342" w:rsidRDefault="00040788">
      <w:pPr>
        <w:pStyle w:val="Lijstje2"/>
        <w:ind w:left="1843" w:hanging="425"/>
        <w:rPr>
          <w:rFonts w:ascii="Arial" w:hAnsi="Arial" w:cs="Arial"/>
          <w:noProof/>
          <w:lang w:val="en-GB"/>
        </w:rPr>
      </w:pPr>
      <w:r>
        <w:rPr>
          <w:rFonts w:ascii="Arial" w:hAnsi="Arial" w:cs="Arial"/>
          <w:noProof/>
          <w:lang w:val="en-GB"/>
        </w:rPr>
        <w:t>failure to comply with reporting obligations under EU waste legislation</w:t>
      </w:r>
      <w:r>
        <w:rPr>
          <w:rStyle w:val="FootnoteReference"/>
          <w:rFonts w:ascii="Arial" w:hAnsi="Arial" w:cs="Arial"/>
          <w:noProof/>
          <w:lang w:val="en-GB"/>
        </w:rPr>
        <w:footnoteReference w:id="75"/>
      </w:r>
      <w:r>
        <w:rPr>
          <w:rFonts w:ascii="Arial" w:hAnsi="Arial" w:cs="Arial"/>
          <w:noProof/>
          <w:lang w:val="en-GB"/>
        </w:rPr>
        <w:t>.</w:t>
      </w:r>
    </w:p>
    <w:p w:rsidR="00E26342" w:rsidRDefault="00040788">
      <w:pPr>
        <w:pStyle w:val="Lijstje"/>
        <w:numPr>
          <w:ilvl w:val="0"/>
          <w:numId w:val="58"/>
        </w:numPr>
        <w:ind w:left="1276" w:hanging="425"/>
        <w:rPr>
          <w:noProof/>
        </w:rPr>
      </w:pPr>
      <w:r>
        <w:rPr>
          <w:noProof/>
        </w:rPr>
        <w:t xml:space="preserve">The Commission referred one case to the Court under Article 258 TFEU. </w:t>
      </w:r>
    </w:p>
    <w:p w:rsidR="00E26342" w:rsidRDefault="00040788">
      <w:pPr>
        <w:pStyle w:val="Lijstje"/>
        <w:numPr>
          <w:ilvl w:val="0"/>
          <w:numId w:val="205"/>
        </w:numPr>
        <w:ind w:left="1843" w:hanging="425"/>
        <w:rPr>
          <w:noProof/>
        </w:rPr>
      </w:pPr>
      <w:r>
        <w:rPr>
          <w:noProof/>
        </w:rPr>
        <w:t>This concerns imported milk powder, groats and rice products from the Dutch overseas  countries Curaçao and Aruba, which were then re-exported to the EU. The imports wrongly benefited f</w:t>
      </w:r>
      <w:r>
        <w:rPr>
          <w:noProof/>
        </w:rPr>
        <w:t>rom an exemption from EU customs duties, causing a loss of revenue to the EU budget of EUR 18.5 million (less collection costs)</w:t>
      </w:r>
      <w:r>
        <w:rPr>
          <w:rStyle w:val="FootnoteReference"/>
          <w:noProof/>
        </w:rPr>
        <w:footnoteReference w:id="76"/>
      </w:r>
      <w:r>
        <w:rPr>
          <w:noProof/>
        </w:rPr>
        <w:t>;</w:t>
      </w:r>
    </w:p>
    <w:p w:rsidR="00E26342" w:rsidRDefault="00040788">
      <w:pPr>
        <w:pStyle w:val="Lijstje"/>
        <w:numPr>
          <w:ilvl w:val="0"/>
          <w:numId w:val="58"/>
        </w:numPr>
        <w:ind w:left="1276" w:hanging="425"/>
        <w:rPr>
          <w:noProof/>
        </w:rPr>
      </w:pPr>
      <w:r>
        <w:rPr>
          <w:noProof/>
        </w:rPr>
        <w:t>The Commission did not refer any cases to the Court under Article 260(2) TFEU.</w:t>
      </w:r>
    </w:p>
    <w:p w:rsidR="00E26342" w:rsidRDefault="00040788">
      <w:pPr>
        <w:pStyle w:val="AnnualReport1"/>
        <w:ind w:left="709" w:hanging="425"/>
        <w:rPr>
          <w:noProof/>
        </w:rPr>
      </w:pPr>
      <w:r>
        <w:rPr>
          <w:noProof/>
        </w:rPr>
        <w:t>TRANSPOSITION OF DIRECTIVES</w:t>
      </w:r>
    </w:p>
    <w:p w:rsidR="00E26342" w:rsidRDefault="00040788">
      <w:pPr>
        <w:pStyle w:val="AnnualReport2"/>
        <w:numPr>
          <w:ilvl w:val="0"/>
          <w:numId w:val="89"/>
        </w:numPr>
        <w:ind w:left="709" w:hanging="425"/>
        <w:rPr>
          <w:noProof/>
        </w:rPr>
      </w:pPr>
      <w:r>
        <w:rPr>
          <w:noProof/>
        </w:rPr>
        <w:t xml:space="preserve">Late transposition </w:t>
      </w:r>
      <w:r>
        <w:rPr>
          <w:noProof/>
        </w:rPr>
        <w:t>infringement cases against the Netherlands open on 31 December (2013-2017)</w:t>
      </w:r>
    </w:p>
    <w:p w:rsidR="00E26342" w:rsidRDefault="00040788">
      <w:pPr>
        <w:ind w:left="425" w:firstLine="284"/>
        <w:rPr>
          <w:noProof/>
        </w:rPr>
      </w:pPr>
      <w:r>
        <w:rPr>
          <w:noProof/>
          <w:lang w:eastAsia="en-GB"/>
        </w:rPr>
        <w:drawing>
          <wp:inline distT="0" distB="0" distL="0" distR="0" wp14:anchorId="30F6A8B1" wp14:editId="01B25BC8">
            <wp:extent cx="4587875" cy="2099310"/>
            <wp:effectExtent l="0" t="0" r="0" b="0"/>
            <wp:docPr id="208"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E26342" w:rsidRDefault="00040788">
      <w:pPr>
        <w:spacing w:after="0"/>
        <w:jc w:val="left"/>
        <w:rPr>
          <w:rFonts w:ascii="Arial" w:hAnsi="Arial"/>
          <w:noProof/>
          <w:color w:val="002060"/>
          <w:sz w:val="22"/>
          <w:szCs w:val="22"/>
        </w:rPr>
      </w:pPr>
      <w:r>
        <w:rPr>
          <w:noProof/>
        </w:rPr>
        <w:br w:type="page"/>
      </w:r>
    </w:p>
    <w:p w:rsidR="00E26342" w:rsidRDefault="00040788">
      <w:pPr>
        <w:pStyle w:val="AnnualReport2"/>
        <w:numPr>
          <w:ilvl w:val="0"/>
          <w:numId w:val="89"/>
        </w:numPr>
        <w:ind w:left="709" w:hanging="425"/>
        <w:rPr>
          <w:noProof/>
        </w:rPr>
      </w:pPr>
      <w:r>
        <w:rPr>
          <w:noProof/>
        </w:rPr>
        <w:t>New late transposition infringement cases against the Netherlands (2013-2017)</w:t>
      </w:r>
    </w:p>
    <w:p w:rsidR="00E26342" w:rsidRDefault="00040788">
      <w:pPr>
        <w:spacing w:after="120"/>
        <w:ind w:firstLine="709"/>
        <w:rPr>
          <w:rFonts w:ascii="Arial" w:hAnsi="Arial" w:cs="Arial"/>
          <w:noProof/>
          <w:sz w:val="20"/>
        </w:rPr>
      </w:pPr>
      <w:r>
        <w:rPr>
          <w:rFonts w:ascii="Arial" w:hAnsi="Arial" w:cs="Arial"/>
          <w:noProof/>
          <w:sz w:val="20"/>
          <w:lang w:eastAsia="en-GB"/>
        </w:rPr>
        <w:drawing>
          <wp:inline distT="0" distB="0" distL="0" distR="0" wp14:anchorId="3277B417" wp14:editId="3544A52F">
            <wp:extent cx="4587875" cy="2266315"/>
            <wp:effectExtent l="0" t="0" r="22225" b="19685"/>
            <wp:docPr id="209"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E26342" w:rsidRDefault="00040788">
      <w:pPr>
        <w:pStyle w:val="AnnualReport2"/>
        <w:numPr>
          <w:ilvl w:val="0"/>
          <w:numId w:val="89"/>
        </w:numPr>
        <w:ind w:left="709" w:hanging="425"/>
        <w:rPr>
          <w:noProof/>
        </w:rPr>
      </w:pPr>
      <w:r>
        <w:rPr>
          <w:noProof/>
        </w:rPr>
        <w:t>New late transposition infringement cases opened in 2017: main policy areas</w:t>
      </w:r>
    </w:p>
    <w:p w:rsidR="00E26342" w:rsidRDefault="00040788">
      <w:pPr>
        <w:spacing w:after="120"/>
        <w:ind w:firstLine="709"/>
        <w:rPr>
          <w:rFonts w:ascii="Arial" w:hAnsi="Arial" w:cs="Arial"/>
          <w:noProof/>
          <w:sz w:val="20"/>
        </w:rPr>
      </w:pPr>
      <w:r>
        <w:rPr>
          <w:rFonts w:ascii="Arial" w:hAnsi="Arial" w:cs="Arial"/>
          <w:noProof/>
          <w:sz w:val="20"/>
          <w:lang w:eastAsia="en-GB"/>
        </w:rPr>
        <w:drawing>
          <wp:inline distT="0" distB="0" distL="0" distR="0" wp14:anchorId="2581C9DA" wp14:editId="7F29787F">
            <wp:extent cx="4580255" cy="2430780"/>
            <wp:effectExtent l="0" t="0" r="10795" b="7620"/>
            <wp:docPr id="210" name="Object 2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E26342" w:rsidRDefault="00040788">
      <w:pPr>
        <w:pStyle w:val="AnnualReport2"/>
        <w:numPr>
          <w:ilvl w:val="0"/>
          <w:numId w:val="89"/>
        </w:numPr>
        <w:ind w:left="709" w:hanging="425"/>
        <w:rPr>
          <w:noProof/>
        </w:rPr>
      </w:pPr>
      <w:r>
        <w:rPr>
          <w:noProof/>
        </w:rPr>
        <w:t xml:space="preserve">Referrals to the </w:t>
      </w:r>
      <w:r>
        <w:rPr>
          <w:noProof/>
        </w:rPr>
        <w:t>Court</w:t>
      </w:r>
    </w:p>
    <w:p w:rsidR="00E26342" w:rsidRDefault="00040788">
      <w:pPr>
        <w:spacing w:after="120"/>
        <w:ind w:left="709"/>
        <w:rPr>
          <w:rFonts w:ascii="Arial" w:eastAsia="Calibri" w:hAnsi="Arial" w:cs="Arial"/>
          <w:noProof/>
          <w:kern w:val="20"/>
          <w:sz w:val="20"/>
        </w:rPr>
      </w:pPr>
      <w:r>
        <w:rPr>
          <w:rFonts w:ascii="Arial" w:eastAsia="Calibri" w:hAnsi="Arial" w:cs="Arial"/>
          <w:noProof/>
          <w:kern w:val="20"/>
          <w:sz w:val="20"/>
        </w:rPr>
        <w:t>The Commission did not refer any cases to the Court under Articles 258 and 260(3) TFEU.</w:t>
      </w:r>
    </w:p>
    <w:p w:rsidR="00E26342" w:rsidRDefault="00040788">
      <w:pPr>
        <w:pStyle w:val="AnnualReport1"/>
        <w:ind w:left="567" w:hanging="283"/>
        <w:rPr>
          <w:noProof/>
        </w:rPr>
      </w:pPr>
      <w:r>
        <w:rPr>
          <w:noProof/>
        </w:rPr>
        <w:t>EARLY RESOLUTION OF INFRINGEMENT CASES</w:t>
      </w:r>
    </w:p>
    <w:p w:rsidR="00E26342" w:rsidRDefault="00040788">
      <w:pPr>
        <w:spacing w:after="60"/>
        <w:ind w:left="786" w:hanging="360"/>
        <w:jc w:val="left"/>
        <w:outlineLvl w:val="1"/>
        <w:rPr>
          <w:rFonts w:ascii="Arial" w:hAnsi="Arial"/>
          <w:noProof/>
          <w:color w:val="002060"/>
          <w:sz w:val="22"/>
          <w:szCs w:val="22"/>
        </w:rPr>
      </w:pPr>
      <w:r>
        <w:rPr>
          <w:rFonts w:ascii="Arial" w:hAnsi="Arial"/>
          <w:noProof/>
          <w:color w:val="002060"/>
          <w:sz w:val="22"/>
          <w:szCs w:val="22"/>
        </w:rPr>
        <w:t>Major cases closed without a Court judgment in 2017</w:t>
      </w:r>
    </w:p>
    <w:p w:rsidR="00E26342" w:rsidRDefault="00040788">
      <w:pPr>
        <w:spacing w:after="120"/>
        <w:ind w:firstLine="426"/>
        <w:rPr>
          <w:rFonts w:ascii="Arial" w:hAnsi="Arial" w:cs="Arial"/>
          <w:noProof/>
          <w:sz w:val="20"/>
        </w:rPr>
      </w:pPr>
      <w:r>
        <w:rPr>
          <w:rFonts w:ascii="Arial" w:hAnsi="Arial" w:cs="Arial"/>
          <w:noProof/>
          <w:sz w:val="20"/>
        </w:rPr>
        <w:t>These concerned:</w:t>
      </w:r>
    </w:p>
    <w:p w:rsidR="00E26342" w:rsidRDefault="00040788">
      <w:pPr>
        <w:numPr>
          <w:ilvl w:val="0"/>
          <w:numId w:val="2"/>
        </w:numPr>
        <w:spacing w:after="200"/>
        <w:ind w:left="1276" w:hanging="425"/>
        <w:contextualSpacing/>
        <w:rPr>
          <w:rFonts w:ascii="Arial" w:eastAsia="Calibri" w:hAnsi="Arial" w:cs="Arial"/>
          <w:noProof/>
          <w:kern w:val="20"/>
          <w:sz w:val="20"/>
        </w:rPr>
      </w:pPr>
      <w:r>
        <w:rPr>
          <w:rFonts w:ascii="Arial" w:hAnsi="Arial" w:cs="Arial"/>
          <w:noProof/>
          <w:sz w:val="20"/>
        </w:rPr>
        <w:t>non-</w:t>
      </w:r>
      <w:r>
        <w:rPr>
          <w:rFonts w:ascii="Arial" w:hAnsi="Arial"/>
          <w:noProof/>
          <w:sz w:val="20"/>
        </w:rPr>
        <w:t>communication</w:t>
      </w:r>
      <w:r>
        <w:rPr>
          <w:rFonts w:ascii="Arial" w:hAnsi="Arial" w:cs="Arial"/>
          <w:noProof/>
          <w:sz w:val="20"/>
        </w:rPr>
        <w:t xml:space="preserve"> of national measures transposing the:</w:t>
      </w:r>
    </w:p>
    <w:p w:rsidR="00E26342" w:rsidRDefault="00040788">
      <w:pPr>
        <w:numPr>
          <w:ilvl w:val="1"/>
          <w:numId w:val="2"/>
        </w:numPr>
        <w:spacing w:after="200"/>
        <w:ind w:left="1843" w:hanging="403"/>
        <w:contextualSpacing/>
        <w:rPr>
          <w:rFonts w:ascii="Arial" w:eastAsia="Calibri" w:hAnsi="Arial" w:cs="Arial"/>
          <w:noProof/>
          <w:kern w:val="20"/>
          <w:sz w:val="20"/>
        </w:rPr>
      </w:pPr>
      <w:r>
        <w:rPr>
          <w:rFonts w:ascii="Arial" w:eastAsia="Calibri" w:hAnsi="Arial" w:cs="Arial"/>
          <w:bCs/>
          <w:noProof/>
          <w:kern w:val="20"/>
          <w:sz w:val="20"/>
        </w:rPr>
        <w:t>Directive on recognition of professional qualifications</w:t>
      </w:r>
      <w:r>
        <w:rPr>
          <w:rStyle w:val="FootnoteReference"/>
          <w:rFonts w:eastAsia="Calibri"/>
          <w:noProof/>
        </w:rPr>
        <w:footnoteReference w:id="77"/>
      </w:r>
      <w:r>
        <w:rPr>
          <w:rFonts w:ascii="Arial" w:eastAsia="Calibri" w:hAnsi="Arial" w:cs="Arial"/>
          <w:bCs/>
          <w:noProof/>
          <w:kern w:val="20"/>
          <w:sz w:val="20"/>
        </w:rPr>
        <w:t>;</w:t>
      </w:r>
    </w:p>
    <w:p w:rsidR="00E26342" w:rsidRDefault="00040788">
      <w:pPr>
        <w:numPr>
          <w:ilvl w:val="1"/>
          <w:numId w:val="2"/>
        </w:numPr>
        <w:spacing w:after="200"/>
        <w:ind w:left="1843" w:hanging="403"/>
        <w:contextualSpacing/>
        <w:rPr>
          <w:rFonts w:ascii="Arial" w:eastAsia="Calibri" w:hAnsi="Arial" w:cs="Arial"/>
          <w:noProof/>
          <w:kern w:val="20"/>
          <w:sz w:val="20"/>
        </w:rPr>
      </w:pPr>
      <w:r>
        <w:rPr>
          <w:rFonts w:ascii="Arial" w:eastAsia="Calibri" w:hAnsi="Arial" w:cs="Arial"/>
          <w:noProof/>
          <w:kern w:val="20"/>
          <w:sz w:val="20"/>
        </w:rPr>
        <w:t xml:space="preserve">Transparency Directive and the Directive on access to the activity of credit institutions and the prudential supervision of credit institutions and investment </w:t>
      </w:r>
      <w:r>
        <w:rPr>
          <w:rFonts w:ascii="Arial" w:eastAsia="Calibri" w:hAnsi="Arial" w:cs="Arial"/>
          <w:noProof/>
          <w:kern w:val="20"/>
          <w:sz w:val="20"/>
        </w:rPr>
        <w:t>firms (CRD IV)</w:t>
      </w:r>
      <w:r>
        <w:rPr>
          <w:rStyle w:val="FootnoteReference"/>
          <w:rFonts w:eastAsia="Calibri"/>
          <w:noProof/>
        </w:rPr>
        <w:footnoteReference w:id="78"/>
      </w:r>
      <w:r>
        <w:rPr>
          <w:rFonts w:ascii="Arial" w:eastAsia="Calibri" w:hAnsi="Arial" w:cs="Arial"/>
          <w:noProof/>
          <w:kern w:val="20"/>
          <w:sz w:val="20"/>
        </w:rPr>
        <w:t>;</w:t>
      </w:r>
    </w:p>
    <w:p w:rsidR="00E26342" w:rsidRDefault="00040788">
      <w:pPr>
        <w:numPr>
          <w:ilvl w:val="1"/>
          <w:numId w:val="2"/>
        </w:numPr>
        <w:spacing w:after="200"/>
        <w:ind w:left="1843" w:hanging="403"/>
        <w:contextualSpacing/>
        <w:rPr>
          <w:rFonts w:ascii="Arial" w:eastAsia="Calibri" w:hAnsi="Arial" w:cs="Arial"/>
          <w:noProof/>
          <w:kern w:val="20"/>
          <w:sz w:val="20"/>
        </w:rPr>
      </w:pPr>
      <w:r>
        <w:rPr>
          <w:rFonts w:ascii="Arial" w:hAnsi="Arial"/>
          <w:noProof/>
          <w:sz w:val="20"/>
        </w:rPr>
        <w:t>Directive establishing a single European railway area</w:t>
      </w:r>
      <w:r>
        <w:rPr>
          <w:rStyle w:val="FootnoteReference"/>
          <w:rFonts w:ascii="Arial" w:hAnsi="Arial"/>
          <w:noProof/>
          <w:sz w:val="20"/>
        </w:rPr>
        <w:footnoteReference w:id="79"/>
      </w:r>
      <w:r>
        <w:rPr>
          <w:rFonts w:ascii="Arial" w:hAnsi="Arial"/>
          <w:noProof/>
          <w:sz w:val="20"/>
        </w:rPr>
        <w:t>;</w:t>
      </w:r>
    </w:p>
    <w:p w:rsidR="00E26342" w:rsidRDefault="00040788">
      <w:pPr>
        <w:numPr>
          <w:ilvl w:val="1"/>
          <w:numId w:val="2"/>
        </w:numPr>
        <w:spacing w:after="200"/>
        <w:ind w:left="1843" w:hanging="403"/>
        <w:contextualSpacing/>
        <w:rPr>
          <w:rFonts w:ascii="Arial" w:eastAsia="Calibri" w:hAnsi="Arial" w:cs="Arial"/>
          <w:noProof/>
          <w:kern w:val="20"/>
          <w:sz w:val="20"/>
        </w:rPr>
      </w:pPr>
      <w:r>
        <w:rPr>
          <w:rFonts w:ascii="Arial" w:hAnsi="Arial"/>
          <w:noProof/>
          <w:sz w:val="20"/>
        </w:rPr>
        <w:t>Accounting Directive</w:t>
      </w:r>
      <w:r>
        <w:rPr>
          <w:rStyle w:val="FootnoteReference"/>
          <w:rFonts w:cs="Arial"/>
          <w:noProof/>
        </w:rPr>
        <w:footnoteReference w:id="80"/>
      </w:r>
      <w:r>
        <w:rPr>
          <w:rFonts w:ascii="Arial" w:hAnsi="Arial" w:cs="Arial"/>
          <w:noProof/>
          <w:sz w:val="20"/>
        </w:rPr>
        <w:t>;</w:t>
      </w:r>
    </w:p>
    <w:p w:rsidR="00E26342" w:rsidRDefault="00040788">
      <w:pPr>
        <w:numPr>
          <w:ilvl w:val="1"/>
          <w:numId w:val="2"/>
        </w:numPr>
        <w:spacing w:after="200"/>
        <w:ind w:left="1843" w:hanging="403"/>
        <w:contextualSpacing/>
        <w:rPr>
          <w:rFonts w:ascii="Arial" w:eastAsia="Calibri" w:hAnsi="Arial" w:cs="Arial"/>
          <w:noProof/>
          <w:kern w:val="20"/>
          <w:sz w:val="20"/>
        </w:rPr>
      </w:pPr>
      <w:r>
        <w:rPr>
          <w:rFonts w:ascii="Arial" w:eastAsia="Calibri" w:hAnsi="Arial" w:cs="Arial"/>
          <w:noProof/>
          <w:kern w:val="20"/>
          <w:sz w:val="20"/>
        </w:rPr>
        <w:t>Directive on disclosure of non-financial and diversity information by certain large undertakings</w:t>
      </w:r>
      <w:r>
        <w:rPr>
          <w:rStyle w:val="FootnoteReference"/>
          <w:rFonts w:eastAsia="Calibri"/>
          <w:noProof/>
        </w:rPr>
        <w:footnoteReference w:id="81"/>
      </w:r>
      <w:r>
        <w:rPr>
          <w:rFonts w:ascii="Arial" w:eastAsia="Calibri" w:hAnsi="Arial" w:cs="Arial"/>
          <w:noProof/>
          <w:kern w:val="20"/>
          <w:sz w:val="20"/>
        </w:rPr>
        <w:t>;</w:t>
      </w:r>
    </w:p>
    <w:p w:rsidR="00E26342" w:rsidRDefault="00040788">
      <w:pPr>
        <w:numPr>
          <w:ilvl w:val="0"/>
          <w:numId w:val="2"/>
        </w:numPr>
        <w:spacing w:after="200"/>
        <w:ind w:left="1276" w:hanging="425"/>
        <w:contextualSpacing/>
        <w:rPr>
          <w:rFonts w:ascii="Arial" w:eastAsia="Calibri" w:hAnsi="Arial" w:cs="Arial"/>
          <w:noProof/>
          <w:kern w:val="20"/>
          <w:sz w:val="20"/>
        </w:rPr>
      </w:pPr>
      <w:r>
        <w:rPr>
          <w:rFonts w:ascii="Arial" w:eastAsia="Calibri" w:hAnsi="Arial" w:cs="Arial"/>
          <w:noProof/>
          <w:kern w:val="20"/>
          <w:sz w:val="20"/>
        </w:rPr>
        <w:t xml:space="preserve">non-conformity with the Directive on the interoperability of </w:t>
      </w:r>
      <w:r>
        <w:rPr>
          <w:rFonts w:ascii="Arial" w:eastAsia="Calibri" w:hAnsi="Arial" w:cs="Arial"/>
          <w:noProof/>
          <w:kern w:val="20"/>
          <w:sz w:val="20"/>
        </w:rPr>
        <w:t>the rail system</w:t>
      </w:r>
      <w:r>
        <w:rPr>
          <w:rStyle w:val="FootnoteReference"/>
          <w:rFonts w:eastAsia="Calibri"/>
          <w:noProof/>
        </w:rPr>
        <w:footnoteReference w:id="82"/>
      </w:r>
      <w:r>
        <w:rPr>
          <w:rFonts w:ascii="Arial" w:eastAsia="Calibri" w:hAnsi="Arial" w:cs="Arial"/>
          <w:noProof/>
          <w:kern w:val="20"/>
          <w:sz w:val="20"/>
        </w:rPr>
        <w:t>;</w:t>
      </w:r>
    </w:p>
    <w:p w:rsidR="00E26342" w:rsidRDefault="00040788">
      <w:pPr>
        <w:numPr>
          <w:ilvl w:val="0"/>
          <w:numId w:val="2"/>
        </w:numPr>
        <w:spacing w:after="0"/>
        <w:ind w:left="1276" w:hanging="425"/>
        <w:rPr>
          <w:rFonts w:ascii="Arial" w:hAnsi="Arial"/>
          <w:noProof/>
          <w:sz w:val="20"/>
        </w:rPr>
      </w:pPr>
      <w:r>
        <w:rPr>
          <w:rFonts w:ascii="Arial" w:hAnsi="Arial"/>
          <w:noProof/>
          <w:sz w:val="20"/>
        </w:rPr>
        <w:t>non-compliance with the freedom of establishment (hazard games act)</w:t>
      </w:r>
      <w:r>
        <w:rPr>
          <w:rStyle w:val="FootnoteReference"/>
          <w:rFonts w:ascii="Arial" w:hAnsi="Arial"/>
          <w:noProof/>
          <w:sz w:val="20"/>
        </w:rPr>
        <w:footnoteReference w:id="83"/>
      </w:r>
      <w:r>
        <w:rPr>
          <w:rFonts w:ascii="Arial" w:hAnsi="Arial"/>
          <w:noProof/>
          <w:sz w:val="20"/>
        </w:rPr>
        <w:t>;</w:t>
      </w:r>
    </w:p>
    <w:p w:rsidR="00E26342" w:rsidRDefault="00040788">
      <w:pPr>
        <w:numPr>
          <w:ilvl w:val="0"/>
          <w:numId w:val="2"/>
        </w:numPr>
        <w:spacing w:after="200"/>
        <w:ind w:left="1276" w:hanging="425"/>
        <w:rPr>
          <w:rFonts w:ascii="Arial" w:hAnsi="Arial"/>
          <w:noProof/>
          <w:sz w:val="20"/>
        </w:rPr>
      </w:pPr>
      <w:r>
        <w:rPr>
          <w:rFonts w:ascii="Arial" w:hAnsi="Arial"/>
          <w:noProof/>
          <w:sz w:val="20"/>
        </w:rPr>
        <w:t>non-compliance with the Railway Safety Directive</w:t>
      </w:r>
      <w:r>
        <w:rPr>
          <w:rStyle w:val="FootnoteReference"/>
          <w:rFonts w:ascii="Arial" w:hAnsi="Arial"/>
          <w:noProof/>
          <w:sz w:val="20"/>
        </w:rPr>
        <w:footnoteReference w:id="84"/>
      </w:r>
      <w:r>
        <w:rPr>
          <w:rFonts w:ascii="Arial" w:hAnsi="Arial"/>
          <w:noProof/>
          <w:sz w:val="20"/>
        </w:rPr>
        <w:t>.</w:t>
      </w:r>
    </w:p>
    <w:p w:rsidR="00E26342" w:rsidRDefault="00040788">
      <w:pPr>
        <w:pStyle w:val="AnnualReport1"/>
        <w:ind w:left="567" w:hanging="283"/>
        <w:rPr>
          <w:noProof/>
        </w:rPr>
      </w:pPr>
      <w:r>
        <w:rPr>
          <w:noProof/>
        </w:rPr>
        <w:t>IMPORTANT JUDGMENTS</w:t>
      </w:r>
    </w:p>
    <w:p w:rsidR="00E26342" w:rsidRDefault="00040788">
      <w:pPr>
        <w:pStyle w:val="AnnualReport2"/>
        <w:numPr>
          <w:ilvl w:val="0"/>
          <w:numId w:val="90"/>
        </w:numPr>
        <w:ind w:left="709" w:hanging="425"/>
        <w:rPr>
          <w:noProof/>
        </w:rPr>
      </w:pPr>
      <w:r>
        <w:rPr>
          <w:noProof/>
        </w:rPr>
        <w:t>Court rulings</w:t>
      </w:r>
      <w:r>
        <w:rPr>
          <w:rStyle w:val="FootnoteReference"/>
          <w:noProof/>
        </w:rPr>
        <w:footnoteReference w:id="85"/>
      </w:r>
    </w:p>
    <w:p w:rsidR="00E26342" w:rsidRDefault="00040788">
      <w:pPr>
        <w:pStyle w:val="Body"/>
        <w:rPr>
          <w:noProof/>
          <w:lang w:val="en-GB"/>
        </w:rPr>
      </w:pPr>
      <w:r>
        <w:rPr>
          <w:noProof/>
          <w:lang w:val="en-GB"/>
        </w:rPr>
        <w:t>The Court ruled that:</w:t>
      </w:r>
    </w:p>
    <w:p w:rsidR="00E26342" w:rsidRDefault="00040788">
      <w:pPr>
        <w:pStyle w:val="Lijstje2"/>
        <w:ind w:left="1276" w:hanging="425"/>
        <w:rPr>
          <w:rFonts w:ascii="Arial" w:hAnsi="Arial" w:cs="Arial"/>
          <w:noProof/>
          <w:lang w:val="en-GB"/>
        </w:rPr>
      </w:pPr>
      <w:r>
        <w:rPr>
          <w:rFonts w:ascii="Arial" w:hAnsi="Arial" w:cs="Arial"/>
          <w:noProof/>
          <w:lang w:val="en-GB"/>
        </w:rPr>
        <w:t>As the European Commission did not adopt its decisions relat</w:t>
      </w:r>
      <w:r>
        <w:rPr>
          <w:rFonts w:ascii="Arial" w:hAnsi="Arial" w:cs="Arial"/>
          <w:noProof/>
          <w:lang w:val="en-GB"/>
        </w:rPr>
        <w:t>ed to the European Regional Development Fund within the six-month deadline indicated in the relevant Regulation, its claim must be rejected on procedural grounds</w:t>
      </w:r>
      <w:r>
        <w:rPr>
          <w:rStyle w:val="FootnoteReference"/>
          <w:iCs/>
          <w:noProof/>
          <w:lang w:val="en-GB"/>
        </w:rPr>
        <w:footnoteReference w:id="86"/>
      </w:r>
      <w:r>
        <w:rPr>
          <w:rFonts w:ascii="Arial" w:hAnsi="Arial" w:cs="Arial"/>
          <w:noProof/>
          <w:lang w:val="en-GB"/>
        </w:rPr>
        <w:t>.</w:t>
      </w:r>
    </w:p>
    <w:p w:rsidR="00E26342" w:rsidRDefault="00040788">
      <w:pPr>
        <w:pStyle w:val="AnnualReport2"/>
        <w:numPr>
          <w:ilvl w:val="0"/>
          <w:numId w:val="90"/>
        </w:numPr>
        <w:ind w:left="709" w:hanging="425"/>
        <w:rPr>
          <w:noProof/>
        </w:rPr>
      </w:pPr>
      <w:r>
        <w:rPr>
          <w:noProof/>
        </w:rPr>
        <w:t>Preliminary rulings</w:t>
      </w:r>
    </w:p>
    <w:p w:rsidR="00E26342" w:rsidRDefault="00040788">
      <w:pPr>
        <w:pStyle w:val="Body"/>
        <w:ind w:left="426" w:firstLine="294"/>
        <w:rPr>
          <w:noProof/>
          <w:lang w:val="en-GB"/>
        </w:rPr>
      </w:pPr>
      <w:r>
        <w:rPr>
          <w:noProof/>
          <w:lang w:val="en-GB"/>
        </w:rPr>
        <w:t xml:space="preserve">The Court addressed the following preliminary rulings to the Dutch judiciary. </w:t>
      </w:r>
    </w:p>
    <w:p w:rsidR="00E26342" w:rsidRDefault="00040788">
      <w:pPr>
        <w:pStyle w:val="Lijstje2"/>
        <w:ind w:left="1276" w:hanging="425"/>
        <w:rPr>
          <w:rFonts w:ascii="Arial" w:hAnsi="Arial"/>
          <w:noProof/>
          <w:lang w:val="en-GB"/>
        </w:rPr>
      </w:pPr>
      <w:r>
        <w:rPr>
          <w:rFonts w:ascii="Arial" w:hAnsi="Arial" w:cs="Arial"/>
          <w:bCs/>
          <w:noProof/>
          <w:lang w:val="en-GB"/>
        </w:rPr>
        <w:t xml:space="preserve">A third-country national may, as the parent of a minor child who is an EU citizen, rely on a derived right of residence in the EU. </w:t>
      </w:r>
      <w:r>
        <w:rPr>
          <w:rFonts w:ascii="Arial" w:hAnsi="Arial" w:cs="Arial"/>
          <w:iCs/>
          <w:noProof/>
          <w:lang w:val="en-GB"/>
        </w:rPr>
        <w:t>The fact that the other parent, an EU citizen,</w:t>
      </w:r>
      <w:r>
        <w:rPr>
          <w:rFonts w:ascii="Arial" w:hAnsi="Arial" w:cs="Arial"/>
          <w:iCs/>
          <w:noProof/>
          <w:lang w:val="en-GB"/>
        </w:rPr>
        <w:t xml:space="preserve"> could assume sole responsibility for the primary day-to-day care of the child is a relevant factor, but is not in itself a sufficient ground to refuse a residence permit. National authorities must also determine whether there is, between the child and the</w:t>
      </w:r>
      <w:r>
        <w:rPr>
          <w:rFonts w:ascii="Arial" w:hAnsi="Arial" w:cs="Arial"/>
          <w:iCs/>
          <w:noProof/>
          <w:lang w:val="en-GB"/>
        </w:rPr>
        <w:t xml:space="preserve"> third-country national parent, such a relationship of dependency that a decision to refuse a right of residence to that parent would compel the child to leave the EU</w:t>
      </w:r>
      <w:r>
        <w:rPr>
          <w:rStyle w:val="FootnoteReference"/>
          <w:rFonts w:ascii="Arial" w:hAnsi="Arial" w:cs="Arial"/>
          <w:iCs/>
          <w:noProof/>
          <w:lang w:val="en-GB"/>
        </w:rPr>
        <w:footnoteReference w:id="87"/>
      </w:r>
      <w:r>
        <w:rPr>
          <w:rFonts w:ascii="Arial" w:hAnsi="Arial" w:cs="Arial"/>
          <w:iCs/>
          <w:noProof/>
          <w:lang w:val="en-GB"/>
        </w:rPr>
        <w:t>.</w:t>
      </w:r>
    </w:p>
    <w:p w:rsidR="00E26342" w:rsidRDefault="00040788">
      <w:pPr>
        <w:pStyle w:val="Lijstje2"/>
        <w:ind w:left="1276" w:hanging="425"/>
        <w:rPr>
          <w:rFonts w:ascii="Arial" w:hAnsi="Arial"/>
          <w:noProof/>
          <w:lang w:val="en-GB"/>
        </w:rPr>
      </w:pPr>
      <w:r>
        <w:rPr>
          <w:rFonts w:ascii="Arial" w:hAnsi="Arial"/>
          <w:noProof/>
          <w:lang w:val="en-GB"/>
        </w:rPr>
        <w:t>The Pirate Bay platform, by offering a search feature, categorising files, deleting fau</w:t>
      </w:r>
      <w:r>
        <w:rPr>
          <w:rFonts w:ascii="Arial" w:hAnsi="Arial"/>
          <w:noProof/>
          <w:lang w:val="en-GB"/>
        </w:rPr>
        <w:t>lty trackers, and filtering out some types of content, and making advertising revenues plays an essential role in making protected works available to the public and as such engages in communication to the public. In other words the platform is considered t</w:t>
      </w:r>
      <w:r>
        <w:rPr>
          <w:rFonts w:ascii="Arial" w:hAnsi="Arial"/>
          <w:noProof/>
          <w:lang w:val="en-GB"/>
        </w:rPr>
        <w:t>o play an essential role, and to intervene, in providing access to copyright-protected content</w:t>
      </w:r>
      <w:r>
        <w:rPr>
          <w:rStyle w:val="FootnoteReference"/>
          <w:noProof/>
        </w:rPr>
        <w:footnoteReference w:id="88"/>
      </w:r>
      <w:r>
        <w:rPr>
          <w:rFonts w:ascii="Arial" w:hAnsi="Arial"/>
          <w:i/>
          <w:noProof/>
          <w:lang w:val="en-GB"/>
        </w:rPr>
        <w:t>.</w:t>
      </w:r>
    </w:p>
    <w:p w:rsidR="00E26342" w:rsidRDefault="00040788">
      <w:pPr>
        <w:pStyle w:val="Lijstje2"/>
        <w:ind w:left="1276" w:hanging="425"/>
        <w:rPr>
          <w:rFonts w:ascii="Arial" w:hAnsi="Arial"/>
          <w:noProof/>
          <w:lang w:val="en-GB"/>
        </w:rPr>
      </w:pPr>
      <w:r>
        <w:rPr>
          <w:rFonts w:ascii="Arial" w:hAnsi="Arial"/>
          <w:noProof/>
          <w:lang w:val="en-GB"/>
        </w:rPr>
        <w:t>Where a flight was cancelled, the air carrier has to pay the compensation if that information was not communicated to the passenger at least 2 weeks before dep</w:t>
      </w:r>
      <w:r>
        <w:rPr>
          <w:rFonts w:ascii="Arial" w:hAnsi="Arial"/>
          <w:noProof/>
          <w:lang w:val="en-GB"/>
        </w:rPr>
        <w:t>arture time. This holds even where the information has reached, at least 2 weeks before the same time, the travel agent through which the carriage contract had been entered into</w:t>
      </w:r>
      <w:r>
        <w:rPr>
          <w:rStyle w:val="FootnoteReference"/>
          <w:noProof/>
        </w:rPr>
        <w:footnoteReference w:id="89"/>
      </w:r>
      <w:r>
        <w:rPr>
          <w:rFonts w:ascii="Arial" w:hAnsi="Arial"/>
          <w:noProof/>
          <w:lang w:val="en-GB"/>
        </w:rPr>
        <w:t>.</w:t>
      </w:r>
    </w:p>
    <w:p w:rsidR="00E26342" w:rsidRDefault="00040788">
      <w:pPr>
        <w:pStyle w:val="Lijstje2"/>
        <w:ind w:left="1276" w:hanging="425"/>
        <w:rPr>
          <w:rFonts w:ascii="Arial" w:hAnsi="Arial" w:cs="Arial"/>
          <w:noProof/>
          <w:lang w:val="en-GB"/>
        </w:rPr>
      </w:pPr>
      <w:r>
        <w:rPr>
          <w:rFonts w:ascii="Arial" w:hAnsi="Arial" w:cs="Arial"/>
          <w:noProof/>
          <w:lang w:val="en-GB"/>
        </w:rPr>
        <w:t>Actions by armed forces during periods of armed conflict, within the meaning</w:t>
      </w:r>
      <w:r>
        <w:rPr>
          <w:rFonts w:ascii="Arial" w:hAnsi="Arial" w:cs="Arial"/>
          <w:noProof/>
          <w:lang w:val="en-GB"/>
        </w:rPr>
        <w:t xml:space="preserve"> of international humanitarian law, may constitute ‘terrorist acts’ for the purposes of EU law (despite the fact that some international conventions exclude them). Consequently, preventative measures may be applied to the perpetrator of the act</w:t>
      </w:r>
      <w:r>
        <w:rPr>
          <w:rStyle w:val="FootnoteReference"/>
          <w:rFonts w:ascii="Arial" w:hAnsi="Arial" w:cs="Arial"/>
          <w:noProof/>
          <w:lang w:val="en-GB"/>
        </w:rPr>
        <w:footnoteReference w:id="90"/>
      </w:r>
      <w:r>
        <w:rPr>
          <w:rFonts w:ascii="Arial" w:hAnsi="Arial" w:cs="Arial"/>
          <w:noProof/>
          <w:lang w:val="en-GB"/>
        </w:rPr>
        <w:t>.</w:t>
      </w:r>
    </w:p>
    <w:p w:rsidR="00E26342" w:rsidRDefault="00040788">
      <w:pPr>
        <w:pStyle w:val="Lijstje2"/>
        <w:ind w:left="1276" w:hanging="425"/>
        <w:rPr>
          <w:rFonts w:ascii="Arial" w:hAnsi="Arial" w:cs="Arial"/>
          <w:noProof/>
          <w:lang w:val="en-GB"/>
        </w:rPr>
      </w:pPr>
      <w:r>
        <w:rPr>
          <w:rFonts w:ascii="Arial" w:hAnsi="Arial" w:cs="Arial"/>
          <w:noProof/>
          <w:lang w:val="en-GB"/>
        </w:rPr>
        <w:t>The start</w:t>
      </w:r>
      <w:r>
        <w:rPr>
          <w:rFonts w:ascii="Arial" w:hAnsi="Arial" w:cs="Arial"/>
          <w:noProof/>
          <w:lang w:val="en-GB"/>
        </w:rPr>
        <w:t>ing point of the duration of an entry ban, which in principle may not exceed 5 years, must be calculated from the date on which the person concerned actually left the territory of the Member States</w:t>
      </w:r>
      <w:r>
        <w:rPr>
          <w:rStyle w:val="FootnoteReference"/>
          <w:rFonts w:ascii="Arial" w:hAnsi="Arial" w:cs="Arial"/>
          <w:noProof/>
          <w:lang w:val="en-GB"/>
        </w:rPr>
        <w:footnoteReference w:id="91"/>
      </w:r>
      <w:r>
        <w:rPr>
          <w:rFonts w:ascii="Arial" w:hAnsi="Arial" w:cs="Arial"/>
          <w:noProof/>
          <w:lang w:val="en-GB"/>
        </w:rPr>
        <w:t>.</w:t>
      </w:r>
    </w:p>
    <w:p w:rsidR="00E26342" w:rsidRDefault="00040788">
      <w:pPr>
        <w:pStyle w:val="Lijstje2"/>
        <w:spacing w:after="200"/>
        <w:ind w:left="1276" w:hanging="425"/>
        <w:rPr>
          <w:rFonts w:ascii="Arial" w:hAnsi="Arial"/>
          <w:noProof/>
          <w:lang w:val="en-GB"/>
        </w:rPr>
      </w:pPr>
      <w:r>
        <w:rPr>
          <w:rFonts w:ascii="Arial" w:hAnsi="Arial"/>
          <w:noProof/>
          <w:lang w:val="en-GB"/>
        </w:rPr>
        <w:t>The ‘cost of transport’ as defined in the Community Cust</w:t>
      </w:r>
      <w:r>
        <w:rPr>
          <w:rFonts w:ascii="Arial" w:hAnsi="Arial"/>
          <w:noProof/>
          <w:lang w:val="en-GB"/>
        </w:rPr>
        <w:t>oms Code is not necessarily limited to the amounts charged by the carriers which themselves carry out the transport of the imported goods</w:t>
      </w:r>
      <w:r>
        <w:rPr>
          <w:rStyle w:val="FootnoteReference"/>
          <w:rFonts w:ascii="Arial" w:hAnsi="Arial" w:cs="Arial"/>
          <w:noProof/>
          <w:lang w:val="en-GB"/>
        </w:rPr>
        <w:footnoteReference w:id="92"/>
      </w:r>
      <w:r>
        <w:rPr>
          <w:rFonts w:ascii="Arial" w:hAnsi="Arial" w:cs="Arial"/>
          <w:noProof/>
          <w:lang w:val="en-GB"/>
        </w:rPr>
        <w:t>.</w:t>
      </w:r>
    </w:p>
    <w:p w:rsidR="00E26342" w:rsidRDefault="00040788">
      <w:pPr>
        <w:pStyle w:val="Lijstje2"/>
        <w:spacing w:after="200"/>
        <w:ind w:left="1276" w:hanging="425"/>
        <w:rPr>
          <w:rFonts w:ascii="Arial" w:hAnsi="Arial"/>
          <w:noProof/>
          <w:lang w:val="en-GB"/>
        </w:rPr>
      </w:pPr>
      <w:r>
        <w:rPr>
          <w:rFonts w:ascii="Arial" w:hAnsi="Arial"/>
          <w:noProof/>
          <w:lang w:val="en-GB"/>
        </w:rPr>
        <w:t xml:space="preserve">Under the Combined Nomenclature, the classification video footage lasting longer than 30 minutes does not change if </w:t>
      </w:r>
      <w:r>
        <w:rPr>
          <w:rFonts w:ascii="Arial" w:hAnsi="Arial"/>
          <w:noProof/>
          <w:lang w:val="en-GB"/>
        </w:rPr>
        <w:t>it is divided into parts shorter than 30 minutes. This remains so either when during the playback the user is unable to perceive the transition from one file to the next, or when he must play each file separately</w:t>
      </w:r>
      <w:r>
        <w:rPr>
          <w:rStyle w:val="FootnoteReference"/>
          <w:rFonts w:ascii="Arial" w:hAnsi="Arial" w:cs="Arial"/>
          <w:noProof/>
          <w:lang w:val="en-GB"/>
        </w:rPr>
        <w:footnoteReference w:id="93"/>
      </w:r>
      <w:r>
        <w:rPr>
          <w:rFonts w:ascii="Arial" w:hAnsi="Arial" w:cs="Arial"/>
          <w:noProof/>
          <w:lang w:val="en-GB"/>
        </w:rPr>
        <w:t>.</w:t>
      </w:r>
    </w:p>
    <w:p w:rsidR="00E26342" w:rsidRDefault="00040788">
      <w:pPr>
        <w:pStyle w:val="Lijstje2"/>
        <w:spacing w:after="200"/>
        <w:ind w:left="1276" w:hanging="425"/>
        <w:rPr>
          <w:rFonts w:ascii="Arial" w:hAnsi="Arial"/>
          <w:noProof/>
          <w:lang w:val="en-GB"/>
        </w:rPr>
      </w:pPr>
      <w:r>
        <w:rPr>
          <w:rFonts w:ascii="Arial" w:hAnsi="Arial"/>
          <w:noProof/>
          <w:lang w:val="en-GB"/>
        </w:rPr>
        <w:t>Screws to be used for medical implant pur</w:t>
      </w:r>
      <w:r>
        <w:rPr>
          <w:rFonts w:ascii="Arial" w:hAnsi="Arial"/>
          <w:noProof/>
          <w:lang w:val="en-GB"/>
        </w:rPr>
        <w:t>poses should be classified as orthopaedic articles under the Combined Nomenclature and not as ‘regular’ screws, even if they ‘entirely correspond’ to ordinary screws</w:t>
      </w:r>
      <w:r>
        <w:rPr>
          <w:rStyle w:val="FootnoteReference"/>
          <w:rFonts w:ascii="Arial" w:hAnsi="Arial" w:cs="Arial"/>
          <w:noProof/>
          <w:lang w:val="en-GB"/>
        </w:rPr>
        <w:footnoteReference w:id="94"/>
      </w:r>
      <w:r>
        <w:rPr>
          <w:rFonts w:ascii="Arial" w:hAnsi="Arial"/>
          <w:noProof/>
          <w:lang w:val="en-GB"/>
        </w:rPr>
        <w:t>.</w:t>
      </w:r>
    </w:p>
    <w:p w:rsidR="00E26342" w:rsidRDefault="00040788">
      <w:pPr>
        <w:pStyle w:val="Lijstje2"/>
        <w:ind w:left="1276" w:hanging="425"/>
        <w:rPr>
          <w:rFonts w:ascii="Arial" w:hAnsi="Arial" w:cs="Arial"/>
          <w:i/>
          <w:noProof/>
          <w:lang w:val="en-GB"/>
        </w:rPr>
      </w:pPr>
      <w:r>
        <w:rPr>
          <w:rFonts w:ascii="Arial" w:hAnsi="Arial" w:cs="Arial"/>
          <w:noProof/>
          <w:lang w:val="en-GB"/>
        </w:rPr>
        <w:t>The Transfer of Undertakings Directive</w:t>
      </w:r>
      <w:r>
        <w:rPr>
          <w:rStyle w:val="FootnoteReference"/>
          <w:rFonts w:ascii="Arial" w:hAnsi="Arial" w:cs="Arial"/>
          <w:noProof/>
          <w:lang w:val="en-GB"/>
        </w:rPr>
        <w:footnoteReference w:id="95"/>
      </w:r>
      <w:r>
        <w:rPr>
          <w:rFonts w:ascii="Arial" w:hAnsi="Arial" w:cs="Arial"/>
          <w:noProof/>
          <w:lang w:val="en-GB"/>
        </w:rPr>
        <w:t xml:space="preserve"> applies to a transfer that follows a declaration of insolvency when a ‘pre-pack’ notably aimed at ensuring the continuation of the activities of the undertaking by a third party is implemented</w:t>
      </w:r>
      <w:r>
        <w:rPr>
          <w:rStyle w:val="FootnoteReference"/>
          <w:rFonts w:ascii="Arial" w:hAnsi="Arial" w:cs="Arial"/>
          <w:noProof/>
          <w:lang w:val="en-GB"/>
        </w:rPr>
        <w:footnoteReference w:id="96"/>
      </w:r>
      <w:r>
        <w:rPr>
          <w:rFonts w:ascii="Arial" w:hAnsi="Arial" w:cs="Arial"/>
          <w:noProof/>
          <w:lang w:val="en-GB"/>
        </w:rPr>
        <w:t>.</w:t>
      </w:r>
    </w:p>
    <w:p w:rsidR="00E26342" w:rsidRDefault="00040788">
      <w:pPr>
        <w:pStyle w:val="Lijstje2"/>
        <w:ind w:left="1276" w:hanging="425"/>
        <w:rPr>
          <w:rFonts w:ascii="Arial" w:hAnsi="Arial" w:cs="Arial"/>
          <w:i/>
          <w:noProof/>
          <w:lang w:val="en-GB"/>
        </w:rPr>
      </w:pPr>
      <w:r>
        <w:rPr>
          <w:rFonts w:ascii="Arial" w:hAnsi="Arial" w:cs="Arial"/>
          <w:noProof/>
          <w:lang w:val="en-GB"/>
        </w:rPr>
        <w:t>The Commission Implementing Decision adopting the eighth upd</w:t>
      </w:r>
      <w:r>
        <w:rPr>
          <w:rFonts w:ascii="Arial" w:hAnsi="Arial" w:cs="Arial"/>
          <w:noProof/>
          <w:lang w:val="en-GB"/>
        </w:rPr>
        <w:t>ate of the list of sites of Community importance for the Atlantic biogeographical region was invalid</w:t>
      </w:r>
      <w:r>
        <w:rPr>
          <w:rStyle w:val="FootnoteReference"/>
          <w:rFonts w:ascii="Arial" w:hAnsi="Arial" w:cs="Arial"/>
          <w:noProof/>
          <w:lang w:val="en-GB"/>
        </w:rPr>
        <w:footnoteReference w:id="97"/>
      </w:r>
      <w:r>
        <w:rPr>
          <w:rFonts w:ascii="Arial" w:hAnsi="Arial" w:cs="Arial"/>
          <w:noProof/>
          <w:lang w:val="en-GB"/>
        </w:rPr>
        <w:t>.</w:t>
      </w:r>
    </w:p>
    <w:p w:rsidR="00E26342" w:rsidRDefault="00E26342">
      <w:pPr>
        <w:pStyle w:val="Lijstje2"/>
        <w:numPr>
          <w:ilvl w:val="0"/>
          <w:numId w:val="0"/>
        </w:numPr>
        <w:ind w:left="1418"/>
        <w:rPr>
          <w:rFonts w:ascii="Arial" w:hAnsi="Arial" w:cs="Arial"/>
          <w:i/>
          <w:noProof/>
          <w:lang w:val="en-GB"/>
        </w:rPr>
      </w:pPr>
    </w:p>
    <w:p w:rsidR="00E26342" w:rsidRDefault="00E26342">
      <w:pPr>
        <w:pStyle w:val="Lijstje2"/>
        <w:numPr>
          <w:ilvl w:val="0"/>
          <w:numId w:val="0"/>
        </w:numPr>
        <w:ind w:left="1843"/>
        <w:rPr>
          <w:rFonts w:ascii="Arial" w:hAnsi="Arial" w:cs="Arial"/>
          <w:noProof/>
          <w:lang w:val="en-GB"/>
        </w:rPr>
      </w:pPr>
    </w:p>
    <w:p w:rsidR="00E26342" w:rsidRDefault="00E26342">
      <w:pPr>
        <w:pStyle w:val="Lijstje2"/>
        <w:numPr>
          <w:ilvl w:val="0"/>
          <w:numId w:val="0"/>
        </w:numPr>
        <w:rPr>
          <w:rFonts w:ascii="Arial" w:hAnsi="Arial"/>
          <w:noProof/>
          <w:lang w:val="en-GB"/>
        </w:rPr>
        <w:sectPr w:rsidR="00E26342">
          <w:headerReference w:type="even" r:id="rId81"/>
          <w:headerReference w:type="default" r:id="rId82"/>
          <w:footerReference w:type="even" r:id="rId83"/>
          <w:footerReference w:type="default" r:id="rId84"/>
          <w:headerReference w:type="first" r:id="rId85"/>
          <w:footerReference w:type="first" r:id="rId86"/>
          <w:footnotePr>
            <w:numRestart w:val="eachSect"/>
          </w:footnotePr>
          <w:pgSz w:w="11906" w:h="16838"/>
          <w:pgMar w:top="1843" w:right="1417" w:bottom="1134" w:left="1417" w:header="567" w:footer="351" w:gutter="0"/>
          <w:cols w:space="708"/>
          <w:titlePg/>
          <w:docGrid w:linePitch="360"/>
        </w:sectPr>
      </w:pPr>
    </w:p>
    <w:p w:rsidR="00E26342" w:rsidRDefault="00040788">
      <w:pPr>
        <w:pStyle w:val="Heading1"/>
        <w:rPr>
          <w:noProof/>
        </w:rPr>
      </w:pPr>
      <w:bookmarkStart w:id="26" w:name="_Toc484622336"/>
      <w:bookmarkStart w:id="27" w:name="_Toc510015285"/>
      <w:bookmarkStart w:id="28" w:name="_Toc475974658"/>
      <w:bookmarkStart w:id="29" w:name="_Toc475980154"/>
      <w:bookmarkStart w:id="30" w:name="_Toc475981403"/>
      <w:r>
        <w:rPr>
          <w:noProof/>
        </w:rPr>
        <w:t>Austria</w:t>
      </w:r>
      <w:bookmarkEnd w:id="26"/>
      <w:bookmarkEnd w:id="27"/>
    </w:p>
    <w:p w:rsidR="00E26342" w:rsidRDefault="00040788">
      <w:pPr>
        <w:pStyle w:val="kop2"/>
        <w:numPr>
          <w:ilvl w:val="0"/>
          <w:numId w:val="59"/>
        </w:numPr>
        <w:spacing w:before="360" w:after="240"/>
        <w:ind w:left="709" w:hanging="425"/>
        <w:rPr>
          <w:noProof/>
        </w:rPr>
      </w:pPr>
      <w:r>
        <w:rPr>
          <w:noProof/>
        </w:rPr>
        <w:t>COMPLAINTS</w:t>
      </w:r>
    </w:p>
    <w:p w:rsidR="00E26342" w:rsidRDefault="00040788">
      <w:pPr>
        <w:pStyle w:val="AnnualReport2"/>
        <w:numPr>
          <w:ilvl w:val="0"/>
          <w:numId w:val="85"/>
        </w:numPr>
        <w:ind w:left="709" w:hanging="425"/>
        <w:rPr>
          <w:noProof/>
        </w:rPr>
      </w:pPr>
      <w:r>
        <w:rPr>
          <w:noProof/>
        </w:rPr>
        <w:t>New complaints made against Austria by members of the public (2013-2017)</w:t>
      </w:r>
    </w:p>
    <w:p w:rsidR="00E26342" w:rsidRDefault="00040788">
      <w:pPr>
        <w:pStyle w:val="Body"/>
        <w:rPr>
          <w:noProof/>
          <w:lang w:val="en-GB"/>
        </w:rPr>
      </w:pPr>
      <w:r>
        <w:rPr>
          <w:noProof/>
          <w:lang w:val="en-GB" w:eastAsia="en-GB"/>
        </w:rPr>
        <w:drawing>
          <wp:inline distT="0" distB="0" distL="0" distR="0" wp14:anchorId="7500AB33" wp14:editId="35B4C887">
            <wp:extent cx="4612005" cy="2234565"/>
            <wp:effectExtent l="0" t="0" r="17145" b="13335"/>
            <wp:docPr id="211"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E26342" w:rsidRDefault="00040788">
      <w:pPr>
        <w:pStyle w:val="AnnualReport2"/>
        <w:numPr>
          <w:ilvl w:val="0"/>
          <w:numId w:val="85"/>
        </w:numPr>
        <w:ind w:left="709" w:hanging="425"/>
        <w:rPr>
          <w:noProof/>
        </w:rPr>
      </w:pPr>
      <w:r>
        <w:rPr>
          <w:noProof/>
        </w:rPr>
        <w:t>Public complaints against Austria open at year-end</w:t>
      </w:r>
    </w:p>
    <w:tbl>
      <w:tblPr>
        <w:tblW w:w="0" w:type="auto"/>
        <w:jc w:val="center"/>
        <w:tblLook w:val="04A0" w:firstRow="1" w:lastRow="0" w:firstColumn="1" w:lastColumn="0" w:noHBand="0" w:noVBand="1"/>
      </w:tblPr>
      <w:tblGrid>
        <w:gridCol w:w="1697"/>
        <w:gridCol w:w="345"/>
        <w:gridCol w:w="5310"/>
      </w:tblGrid>
      <w:tr w:rsidR="00E26342">
        <w:trPr>
          <w:trHeight w:val="403"/>
          <w:jc w:val="center"/>
        </w:trPr>
        <w:tc>
          <w:tcPr>
            <w:tcW w:w="1697" w:type="dxa"/>
            <w:shd w:val="clear" w:color="auto" w:fill="auto"/>
            <w:vAlign w:val="center"/>
          </w:tcPr>
          <w:p w:rsidR="00E26342" w:rsidRDefault="00040788">
            <w:pPr>
              <w:spacing w:after="0"/>
              <w:jc w:val="right"/>
              <w:rPr>
                <w:rFonts w:ascii="Arial" w:hAnsi="Arial" w:cs="Arial"/>
                <w:noProof/>
                <w:color w:val="548DD4"/>
                <w:sz w:val="22"/>
                <w:szCs w:val="28"/>
                <w:lang w:eastAsia="en-GB"/>
              </w:rPr>
            </w:pPr>
            <w:r>
              <w:rPr>
                <w:rFonts w:ascii="Arial" w:hAnsi="Arial" w:cs="Arial"/>
                <w:noProof/>
                <w:color w:val="C00000"/>
                <w:sz w:val="22"/>
                <w:szCs w:val="28"/>
                <w:lang w:eastAsia="en-GB"/>
              </w:rPr>
              <w:t>104</w:t>
            </w:r>
          </w:p>
        </w:tc>
        <w:tc>
          <w:tcPr>
            <w:tcW w:w="332" w:type="dxa"/>
            <w:shd w:val="clear" w:color="auto" w:fill="auto"/>
            <w:vAlign w:val="center"/>
          </w:tcPr>
          <w:p w:rsidR="00E26342" w:rsidRDefault="00040788">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E26342" w:rsidRDefault="00040788">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Complaints open at end-2016</w:t>
            </w:r>
          </w:p>
        </w:tc>
      </w:tr>
      <w:tr w:rsidR="00E26342">
        <w:trPr>
          <w:trHeight w:val="403"/>
          <w:jc w:val="center"/>
        </w:trPr>
        <w:tc>
          <w:tcPr>
            <w:tcW w:w="1697" w:type="dxa"/>
            <w:shd w:val="clear" w:color="auto" w:fill="auto"/>
            <w:vAlign w:val="center"/>
          </w:tcPr>
          <w:p w:rsidR="00E26342" w:rsidRDefault="00040788">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117</w:t>
            </w:r>
          </w:p>
        </w:tc>
        <w:tc>
          <w:tcPr>
            <w:tcW w:w="332" w:type="dxa"/>
            <w:shd w:val="clear" w:color="auto" w:fill="auto"/>
            <w:vAlign w:val="center"/>
          </w:tcPr>
          <w:p w:rsidR="00E26342" w:rsidRDefault="00040788">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E26342" w:rsidRDefault="00040788">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New complaints registered in 2017</w:t>
            </w:r>
          </w:p>
        </w:tc>
      </w:tr>
      <w:tr w:rsidR="00E26342">
        <w:trPr>
          <w:trHeight w:val="403"/>
          <w:jc w:val="center"/>
        </w:trPr>
        <w:tc>
          <w:tcPr>
            <w:tcW w:w="1697" w:type="dxa"/>
            <w:tcBorders>
              <w:bottom w:val="single" w:sz="24" w:space="0" w:color="548DD4"/>
            </w:tcBorders>
            <w:shd w:val="clear" w:color="auto" w:fill="auto"/>
            <w:vAlign w:val="center"/>
          </w:tcPr>
          <w:p w:rsidR="00E26342" w:rsidRDefault="00040788">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99</w:t>
            </w:r>
          </w:p>
        </w:tc>
        <w:tc>
          <w:tcPr>
            <w:tcW w:w="332" w:type="dxa"/>
            <w:shd w:val="clear" w:color="auto" w:fill="auto"/>
            <w:vAlign w:val="center"/>
          </w:tcPr>
          <w:p w:rsidR="00E26342" w:rsidRDefault="00040788">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E26342" w:rsidRDefault="00040788">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Complaints handled in 2017</w:t>
            </w:r>
          </w:p>
        </w:tc>
      </w:tr>
      <w:tr w:rsidR="00E26342">
        <w:trPr>
          <w:trHeight w:val="403"/>
          <w:jc w:val="center"/>
        </w:trPr>
        <w:tc>
          <w:tcPr>
            <w:tcW w:w="1697" w:type="dxa"/>
            <w:tcBorders>
              <w:top w:val="single" w:sz="24" w:space="0" w:color="548DD4"/>
            </w:tcBorders>
            <w:shd w:val="clear" w:color="auto" w:fill="auto"/>
            <w:vAlign w:val="center"/>
          </w:tcPr>
          <w:p w:rsidR="00E26342" w:rsidRDefault="00040788">
            <w:pPr>
              <w:spacing w:after="0"/>
              <w:jc w:val="right"/>
              <w:rPr>
                <w:rFonts w:ascii="Arial" w:hAnsi="Arial" w:cs="Arial"/>
                <w:noProof/>
                <w:color w:val="C00000"/>
                <w:sz w:val="22"/>
                <w:szCs w:val="28"/>
                <w:lang w:eastAsia="en-GB"/>
              </w:rPr>
            </w:pPr>
            <w:r>
              <w:rPr>
                <w:rFonts w:ascii="Arial" w:hAnsi="Arial" w:cs="Arial"/>
                <w:noProof/>
                <w:color w:val="C00000"/>
                <w:sz w:val="22"/>
                <w:szCs w:val="28"/>
                <w:lang w:eastAsia="en-GB"/>
              </w:rPr>
              <w:t>= 122</w:t>
            </w:r>
          </w:p>
        </w:tc>
        <w:tc>
          <w:tcPr>
            <w:tcW w:w="332" w:type="dxa"/>
            <w:shd w:val="clear" w:color="auto" w:fill="auto"/>
            <w:vAlign w:val="center"/>
          </w:tcPr>
          <w:p w:rsidR="00E26342" w:rsidRDefault="00040788">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E26342" w:rsidRDefault="00040788">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Complaints open at end-2017</w:t>
            </w:r>
          </w:p>
        </w:tc>
      </w:tr>
    </w:tbl>
    <w:p w:rsidR="00E26342" w:rsidRDefault="00040788">
      <w:pPr>
        <w:pStyle w:val="AnnualReport2"/>
        <w:numPr>
          <w:ilvl w:val="0"/>
          <w:numId w:val="85"/>
        </w:numPr>
        <w:ind w:left="709" w:hanging="425"/>
        <w:rPr>
          <w:noProof/>
        </w:rPr>
      </w:pPr>
      <w:r>
        <w:rPr>
          <w:noProof/>
        </w:rPr>
        <w:t>New complaints registered in 2017: main policy areas</w:t>
      </w:r>
      <w:r>
        <w:rPr>
          <w:noProof/>
          <w:lang w:eastAsia="en-GB"/>
        </w:rPr>
        <w:drawing>
          <wp:inline distT="0" distB="0" distL="0" distR="0" wp14:anchorId="737DA667" wp14:editId="3665A292">
            <wp:extent cx="4615543" cy="2416628"/>
            <wp:effectExtent l="0" t="0" r="13970" b="22225"/>
            <wp:docPr id="1076" name="Grafie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E26342" w:rsidRDefault="00040788">
      <w:pPr>
        <w:spacing w:after="0"/>
        <w:jc w:val="left"/>
        <w:rPr>
          <w:rFonts w:ascii="Arial" w:hAnsi="Arial"/>
          <w:noProof/>
          <w:color w:val="002060"/>
          <w:sz w:val="22"/>
          <w:szCs w:val="22"/>
        </w:rPr>
      </w:pPr>
      <w:r>
        <w:rPr>
          <w:noProof/>
        </w:rPr>
        <w:br w:type="page"/>
      </w:r>
    </w:p>
    <w:p w:rsidR="00E26342" w:rsidRDefault="00040788">
      <w:pPr>
        <w:pStyle w:val="kop2"/>
        <w:numPr>
          <w:ilvl w:val="0"/>
          <w:numId w:val="59"/>
        </w:numPr>
        <w:spacing w:after="240"/>
        <w:ind w:left="709" w:hanging="425"/>
        <w:rPr>
          <w:noProof/>
        </w:rPr>
      </w:pPr>
      <w:r>
        <w:rPr>
          <w:noProof/>
        </w:rPr>
        <w:t>EU PILOT</w:t>
      </w:r>
    </w:p>
    <w:p w:rsidR="00E26342" w:rsidRDefault="00040788">
      <w:pPr>
        <w:pStyle w:val="AnnualReport2"/>
        <w:numPr>
          <w:ilvl w:val="0"/>
          <w:numId w:val="138"/>
        </w:numPr>
        <w:ind w:left="709" w:hanging="425"/>
        <w:rPr>
          <w:noProof/>
        </w:rPr>
      </w:pPr>
      <w:r>
        <w:rPr>
          <w:noProof/>
        </w:rPr>
        <w:t xml:space="preserve">New EU Pilot files opened against Austria </w:t>
      </w:r>
      <w:r>
        <w:rPr>
          <w:noProof/>
        </w:rPr>
        <w:t>(2013-2017)</w:t>
      </w:r>
    </w:p>
    <w:p w:rsidR="00E26342" w:rsidRDefault="00040788">
      <w:pPr>
        <w:pStyle w:val="Body"/>
        <w:tabs>
          <w:tab w:val="left" w:pos="0"/>
        </w:tabs>
        <w:rPr>
          <w:noProof/>
          <w:lang w:val="en-GB"/>
        </w:rPr>
      </w:pPr>
      <w:r>
        <w:rPr>
          <w:noProof/>
          <w:lang w:val="en-GB" w:eastAsia="en-GB"/>
        </w:rPr>
        <w:drawing>
          <wp:inline distT="0" distB="0" distL="0" distR="0" wp14:anchorId="741A9D1E" wp14:editId="3C0A7F2F">
            <wp:extent cx="4603750" cy="2250440"/>
            <wp:effectExtent l="0" t="0" r="25400" b="16510"/>
            <wp:docPr id="213"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E26342" w:rsidRDefault="00040788">
      <w:pPr>
        <w:pStyle w:val="AnnualReport2"/>
        <w:numPr>
          <w:ilvl w:val="0"/>
          <w:numId w:val="138"/>
        </w:numPr>
        <w:ind w:left="709" w:hanging="425"/>
        <w:rPr>
          <w:noProof/>
        </w:rPr>
      </w:pPr>
      <w:r>
        <w:rPr>
          <w:noProof/>
        </w:rPr>
        <w:t>Files relating to Austria open in EU Pilot at year-end</w:t>
      </w:r>
    </w:p>
    <w:p w:rsidR="00E26342" w:rsidRDefault="00040788">
      <w:pPr>
        <w:pStyle w:val="Body"/>
        <w:rPr>
          <w:noProof/>
          <w:lang w:val="en-GB"/>
        </w:rPr>
      </w:pPr>
      <w:r>
        <w:rPr>
          <w:noProof/>
          <w:lang w:val="en-GB" w:eastAsia="en-GB"/>
        </w:rPr>
        <w:drawing>
          <wp:inline distT="0" distB="0" distL="0" distR="0" wp14:anchorId="79BE0E81" wp14:editId="0B3F624D">
            <wp:extent cx="4603750" cy="2250440"/>
            <wp:effectExtent l="0" t="0" r="0" b="0"/>
            <wp:docPr id="214"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E26342" w:rsidRDefault="00040788">
      <w:pPr>
        <w:pStyle w:val="AnnualReport2"/>
        <w:numPr>
          <w:ilvl w:val="0"/>
          <w:numId w:val="138"/>
        </w:numPr>
        <w:ind w:left="709" w:hanging="425"/>
        <w:rPr>
          <w:noProof/>
        </w:rPr>
      </w:pPr>
      <w:r>
        <w:rPr>
          <w:noProof/>
        </w:rPr>
        <w:t>New EU Pilot files opened in 2017: policy areas</w:t>
      </w:r>
    </w:p>
    <w:p w:rsidR="00E26342" w:rsidRDefault="00040788">
      <w:pPr>
        <w:pStyle w:val="Body"/>
        <w:rPr>
          <w:noProof/>
          <w:lang w:val="en-GB"/>
        </w:rPr>
      </w:pPr>
      <w:r>
        <w:rPr>
          <w:noProof/>
          <w:lang w:val="en-GB" w:eastAsia="en-GB"/>
        </w:rPr>
        <w:drawing>
          <wp:inline distT="0" distB="0" distL="0" distR="0" wp14:anchorId="19AAEBFB" wp14:editId="4D2BC503">
            <wp:extent cx="4643755" cy="2456815"/>
            <wp:effectExtent l="0" t="0" r="23495" b="19685"/>
            <wp:docPr id="215" name="Grafiek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E26342" w:rsidRDefault="00E26342">
      <w:pPr>
        <w:pStyle w:val="Body"/>
        <w:spacing w:after="0"/>
        <w:rPr>
          <w:noProof/>
          <w:lang w:val="en-GB"/>
        </w:rPr>
      </w:pPr>
    </w:p>
    <w:p w:rsidR="00E26342" w:rsidRDefault="00040788">
      <w:pPr>
        <w:pStyle w:val="AnnualReport2"/>
        <w:numPr>
          <w:ilvl w:val="0"/>
          <w:numId w:val="138"/>
        </w:numPr>
        <w:rPr>
          <w:noProof/>
        </w:rPr>
      </w:pPr>
      <w:r>
        <w:rPr>
          <w:noProof/>
        </w:rPr>
        <w:t>EU Pilot files: Austria’s resolution rate in 2013-2017</w:t>
      </w:r>
    </w:p>
    <w:p w:rsidR="00E26342" w:rsidRDefault="00040788">
      <w:pPr>
        <w:pStyle w:val="Body"/>
        <w:rPr>
          <w:noProof/>
          <w:lang w:val="en-GB"/>
        </w:rPr>
      </w:pPr>
      <w:r>
        <w:rPr>
          <w:noProof/>
          <w:lang w:val="en-GB" w:eastAsia="en-GB"/>
        </w:rPr>
        <w:drawing>
          <wp:inline distT="0" distB="0" distL="0" distR="0" wp14:anchorId="2331F336" wp14:editId="4E4C2067">
            <wp:extent cx="4596130" cy="2313940"/>
            <wp:effectExtent l="0" t="0" r="13970" b="10160"/>
            <wp:docPr id="216"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E26342" w:rsidRDefault="00040788">
      <w:pPr>
        <w:pStyle w:val="kop2"/>
        <w:numPr>
          <w:ilvl w:val="0"/>
          <w:numId w:val="59"/>
        </w:numPr>
        <w:spacing w:before="360" w:after="240"/>
        <w:ind w:left="709" w:hanging="425"/>
        <w:rPr>
          <w:noProof/>
        </w:rPr>
      </w:pPr>
      <w:r>
        <w:rPr>
          <w:noProof/>
        </w:rPr>
        <w:t>INFRINGEMENT CASES</w:t>
      </w:r>
    </w:p>
    <w:p w:rsidR="00E26342" w:rsidRDefault="00040788">
      <w:pPr>
        <w:pStyle w:val="AnnualReport2"/>
        <w:numPr>
          <w:ilvl w:val="0"/>
          <w:numId w:val="139"/>
        </w:numPr>
        <w:ind w:left="709" w:hanging="425"/>
        <w:rPr>
          <w:noProof/>
        </w:rPr>
      </w:pPr>
      <w:r>
        <w:rPr>
          <w:noProof/>
        </w:rPr>
        <w:t xml:space="preserve">Infringement cases against Austria open on 31 December </w:t>
      </w:r>
      <w:r>
        <w:rPr>
          <w:noProof/>
        </w:rPr>
        <w:t>(2013-2017)</w:t>
      </w:r>
    </w:p>
    <w:p w:rsidR="00E26342" w:rsidRDefault="00040788">
      <w:pPr>
        <w:pStyle w:val="Body"/>
        <w:rPr>
          <w:noProof/>
          <w:lang w:val="en-GB"/>
        </w:rPr>
      </w:pPr>
      <w:r>
        <w:rPr>
          <w:noProof/>
          <w:lang w:val="en-GB" w:eastAsia="en-GB"/>
        </w:rPr>
        <w:drawing>
          <wp:inline distT="0" distB="0" distL="0" distR="0" wp14:anchorId="5983FBB0" wp14:editId="375B7AD6">
            <wp:extent cx="4612005" cy="2329815"/>
            <wp:effectExtent l="0" t="0" r="17145" b="13335"/>
            <wp:docPr id="217" name="Grafiek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E26342" w:rsidRDefault="00040788">
      <w:pPr>
        <w:spacing w:after="200" w:line="276" w:lineRule="auto"/>
        <w:jc w:val="left"/>
        <w:rPr>
          <w:rFonts w:ascii="Arial" w:hAnsi="Arial"/>
          <w:noProof/>
          <w:color w:val="002060"/>
          <w:sz w:val="22"/>
          <w:szCs w:val="22"/>
        </w:rPr>
      </w:pPr>
      <w:r>
        <w:rPr>
          <w:noProof/>
        </w:rPr>
        <w:br w:type="page"/>
      </w:r>
    </w:p>
    <w:p w:rsidR="00E26342" w:rsidRDefault="00040788">
      <w:pPr>
        <w:pStyle w:val="AnnualReport2"/>
        <w:numPr>
          <w:ilvl w:val="0"/>
          <w:numId w:val="139"/>
        </w:numPr>
        <w:ind w:left="709" w:hanging="425"/>
        <w:rPr>
          <w:noProof/>
        </w:rPr>
      </w:pPr>
      <w:r>
        <w:rPr>
          <w:noProof/>
        </w:rPr>
        <w:t>New infringement cases opened in 2017: main policy areas</w:t>
      </w:r>
    </w:p>
    <w:p w:rsidR="00E26342" w:rsidRDefault="00040788">
      <w:pPr>
        <w:pStyle w:val="Body"/>
        <w:rPr>
          <w:noProof/>
          <w:lang w:val="en-GB"/>
        </w:rPr>
      </w:pPr>
      <w:r>
        <w:rPr>
          <w:noProof/>
          <w:lang w:val="en-GB" w:eastAsia="en-GB"/>
        </w:rPr>
        <w:drawing>
          <wp:inline distT="0" distB="0" distL="0" distR="0" wp14:anchorId="4B842CCC" wp14:editId="28B76BC6">
            <wp:extent cx="4541520" cy="2194560"/>
            <wp:effectExtent l="0" t="0" r="11430" b="15240"/>
            <wp:docPr id="218" name="Object 2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E26342" w:rsidRDefault="00040788">
      <w:pPr>
        <w:pStyle w:val="AnnualReport2"/>
        <w:numPr>
          <w:ilvl w:val="0"/>
          <w:numId w:val="139"/>
        </w:numPr>
        <w:ind w:left="709" w:hanging="425"/>
        <w:rPr>
          <w:noProof/>
        </w:rPr>
      </w:pPr>
      <w:r>
        <w:rPr>
          <w:noProof/>
        </w:rPr>
        <w:t>Key infringement cases and referrals to the Court</w:t>
      </w:r>
    </w:p>
    <w:p w:rsidR="00E26342" w:rsidRDefault="00040788">
      <w:pPr>
        <w:pStyle w:val="Lijstje"/>
        <w:numPr>
          <w:ilvl w:val="0"/>
          <w:numId w:val="60"/>
        </w:numPr>
        <w:ind w:left="1276" w:hanging="425"/>
        <w:rPr>
          <w:noProof/>
        </w:rPr>
      </w:pPr>
      <w:r>
        <w:rPr>
          <w:noProof/>
        </w:rPr>
        <w:t xml:space="preserve">The Commission opened 28 new infringement cases against Austria in 2017. These, and other major ongoing infringement cases, </w:t>
      </w:r>
      <w:r>
        <w:rPr>
          <w:noProof/>
        </w:rPr>
        <w:t>include:</w:t>
      </w:r>
    </w:p>
    <w:p w:rsidR="00E26342" w:rsidRDefault="00040788">
      <w:pPr>
        <w:pStyle w:val="Lijstje2"/>
        <w:spacing w:after="200"/>
        <w:ind w:left="1843" w:hanging="425"/>
        <w:rPr>
          <w:rFonts w:ascii="Arial" w:hAnsi="Arial" w:cs="Arial"/>
          <w:noProof/>
          <w:lang w:val="en-GB"/>
        </w:rPr>
      </w:pPr>
      <w:r>
        <w:rPr>
          <w:rFonts w:ascii="Arial" w:hAnsi="Arial" w:cs="Arial"/>
          <w:noProof/>
          <w:lang w:val="en-GB"/>
        </w:rPr>
        <w:t>non- communication of national measuring transposing the:</w:t>
      </w:r>
    </w:p>
    <w:p w:rsidR="00E26342" w:rsidRDefault="00040788">
      <w:pPr>
        <w:pStyle w:val="Lijstje2"/>
        <w:numPr>
          <w:ilvl w:val="2"/>
          <w:numId w:val="2"/>
        </w:numPr>
        <w:spacing w:after="200"/>
        <w:ind w:left="2410" w:hanging="425"/>
        <w:rPr>
          <w:rFonts w:ascii="Arial" w:hAnsi="Arial" w:cs="Arial"/>
          <w:noProof/>
          <w:lang w:val="en-GB"/>
        </w:rPr>
      </w:pPr>
      <w:r>
        <w:rPr>
          <w:rFonts w:ascii="Arial" w:hAnsi="Arial" w:cs="Arial"/>
          <w:noProof/>
          <w:lang w:val="en-GB"/>
        </w:rPr>
        <w:t>Directive on recognition of professional qualification</w:t>
      </w:r>
      <w:r>
        <w:rPr>
          <w:rStyle w:val="FootnoteReference"/>
          <w:noProof/>
        </w:rPr>
        <w:footnoteReference w:id="98"/>
      </w:r>
      <w:r>
        <w:rPr>
          <w:rFonts w:ascii="Arial" w:hAnsi="Arial" w:cs="Arial"/>
          <w:noProof/>
          <w:lang w:val="en-GB"/>
        </w:rPr>
        <w:t>;</w:t>
      </w:r>
    </w:p>
    <w:p w:rsidR="00E26342" w:rsidRDefault="00040788">
      <w:pPr>
        <w:pStyle w:val="Lijstje2"/>
        <w:numPr>
          <w:ilvl w:val="2"/>
          <w:numId w:val="2"/>
        </w:numPr>
        <w:spacing w:after="200"/>
        <w:ind w:left="2410" w:hanging="425"/>
        <w:rPr>
          <w:rFonts w:ascii="Arial" w:hAnsi="Arial" w:cs="Arial"/>
          <w:noProof/>
          <w:lang w:val="en-GB"/>
        </w:rPr>
      </w:pPr>
      <w:r>
        <w:rPr>
          <w:rFonts w:ascii="Arial" w:hAnsi="Arial" w:cs="Arial"/>
          <w:noProof/>
          <w:lang w:val="en-GB"/>
        </w:rPr>
        <w:t>Directive</w:t>
      </w:r>
      <w:r>
        <w:rPr>
          <w:rStyle w:val="FootnoteReference"/>
          <w:noProof/>
        </w:rPr>
        <w:footnoteReference w:id="99"/>
      </w:r>
      <w:r>
        <w:rPr>
          <w:rFonts w:ascii="Arial" w:hAnsi="Arial" w:cs="Arial"/>
          <w:noProof/>
          <w:lang w:val="en-GB"/>
        </w:rPr>
        <w:t xml:space="preserve"> laying down calculation methods and reporting requirements pursuant to the Directive on fuels quality</w:t>
      </w:r>
      <w:r>
        <w:rPr>
          <w:rStyle w:val="FootnoteReference"/>
          <w:noProof/>
        </w:rPr>
        <w:footnoteReference w:id="100"/>
      </w:r>
      <w:r>
        <w:rPr>
          <w:rFonts w:ascii="Arial" w:hAnsi="Arial" w:cs="Arial"/>
          <w:noProof/>
          <w:lang w:val="en-GB"/>
        </w:rPr>
        <w:t>;</w:t>
      </w:r>
    </w:p>
    <w:p w:rsidR="00E26342" w:rsidRDefault="00040788">
      <w:pPr>
        <w:pStyle w:val="Lijstje2"/>
        <w:numPr>
          <w:ilvl w:val="2"/>
          <w:numId w:val="2"/>
        </w:numPr>
        <w:spacing w:after="200"/>
        <w:ind w:left="2410" w:hanging="425"/>
        <w:rPr>
          <w:rFonts w:ascii="Arial" w:hAnsi="Arial" w:cs="Arial"/>
          <w:noProof/>
          <w:lang w:val="en-GB"/>
        </w:rPr>
      </w:pPr>
      <w:r>
        <w:rPr>
          <w:rFonts w:ascii="Arial" w:hAnsi="Arial" w:cs="Arial"/>
          <w:noProof/>
          <w:lang w:val="en-GB"/>
        </w:rPr>
        <w:t>Seveso-III Direct</w:t>
      </w:r>
      <w:r>
        <w:rPr>
          <w:rFonts w:ascii="Arial" w:hAnsi="Arial" w:cs="Arial"/>
          <w:noProof/>
          <w:lang w:val="en-GB"/>
        </w:rPr>
        <w:t>ive</w:t>
      </w:r>
      <w:r>
        <w:rPr>
          <w:rStyle w:val="FootnoteReference"/>
          <w:noProof/>
        </w:rPr>
        <w:footnoteReference w:id="101"/>
      </w:r>
      <w:r>
        <w:rPr>
          <w:rFonts w:ascii="Arial" w:hAnsi="Arial" w:cs="Arial"/>
          <w:noProof/>
          <w:lang w:val="en-GB"/>
        </w:rPr>
        <w:t>;</w:t>
      </w:r>
    </w:p>
    <w:p w:rsidR="00E26342" w:rsidRDefault="00040788">
      <w:pPr>
        <w:pStyle w:val="Lijstje2"/>
        <w:numPr>
          <w:ilvl w:val="2"/>
          <w:numId w:val="2"/>
        </w:numPr>
        <w:spacing w:after="200"/>
        <w:ind w:left="2410" w:hanging="425"/>
        <w:rPr>
          <w:rFonts w:ascii="Arial" w:hAnsi="Arial" w:cs="Arial"/>
          <w:noProof/>
          <w:lang w:val="en-GB"/>
        </w:rPr>
      </w:pPr>
      <w:r>
        <w:rPr>
          <w:rFonts w:ascii="Arial" w:hAnsi="Arial" w:cs="Arial"/>
          <w:noProof/>
          <w:lang w:val="en-GB"/>
        </w:rPr>
        <w:t>amending Nuclear Safety Directive</w:t>
      </w:r>
      <w:r>
        <w:rPr>
          <w:rStyle w:val="FootnoteReference"/>
          <w:rFonts w:ascii="Arial" w:hAnsi="Arial" w:cs="Arial"/>
          <w:noProof/>
          <w:lang w:val="en-GB"/>
        </w:rPr>
        <w:footnoteReference w:id="102"/>
      </w:r>
      <w:r>
        <w:rPr>
          <w:rFonts w:ascii="Arial" w:hAnsi="Arial" w:cs="Arial"/>
          <w:noProof/>
          <w:lang w:val="en-GB"/>
        </w:rPr>
        <w:t>;</w:t>
      </w:r>
    </w:p>
    <w:p w:rsidR="00E26342" w:rsidRDefault="00040788">
      <w:pPr>
        <w:pStyle w:val="Lijstje2"/>
        <w:spacing w:after="200"/>
        <w:ind w:left="1843" w:hanging="425"/>
        <w:rPr>
          <w:rFonts w:ascii="Arial" w:hAnsi="Arial" w:cs="Arial"/>
          <w:i/>
          <w:noProof/>
          <w:lang w:val="en-GB"/>
        </w:rPr>
      </w:pPr>
      <w:r>
        <w:rPr>
          <w:rFonts w:ascii="Arial" w:hAnsi="Arial" w:cs="Arial"/>
          <w:noProof/>
          <w:lang w:val="en-GB"/>
        </w:rPr>
        <w:t>failure to adopt a national programme for spent fuel and radioactive waste management compliant  with the requirements of the Radioactive Waste Directive</w:t>
      </w:r>
      <w:r>
        <w:rPr>
          <w:rStyle w:val="FootnoteReference"/>
          <w:rFonts w:ascii="Arial" w:hAnsi="Arial" w:cs="Arial"/>
          <w:i/>
          <w:noProof/>
          <w:lang w:val="en-GB"/>
        </w:rPr>
        <w:footnoteReference w:id="103"/>
      </w:r>
      <w:r>
        <w:rPr>
          <w:rFonts w:ascii="Arial" w:hAnsi="Arial" w:cs="Arial"/>
          <w:noProof/>
          <w:lang w:val="en-GB"/>
        </w:rPr>
        <w:t>;</w:t>
      </w:r>
    </w:p>
    <w:p w:rsidR="00E26342" w:rsidRDefault="00040788">
      <w:pPr>
        <w:pStyle w:val="Lijstje2"/>
        <w:spacing w:after="200"/>
        <w:ind w:left="1843" w:hanging="425"/>
        <w:rPr>
          <w:rFonts w:ascii="Arial" w:hAnsi="Arial" w:cs="Arial"/>
          <w:noProof/>
          <w:lang w:val="en-GB"/>
        </w:rPr>
      </w:pPr>
      <w:r>
        <w:rPr>
          <w:rFonts w:ascii="Arial" w:hAnsi="Arial" w:cs="Arial"/>
          <w:noProof/>
          <w:lang w:val="en-GB"/>
        </w:rPr>
        <w:t xml:space="preserve">failure to comply with reporting obligations under EU </w:t>
      </w:r>
      <w:r>
        <w:rPr>
          <w:rFonts w:ascii="Arial" w:hAnsi="Arial" w:cs="Arial"/>
          <w:noProof/>
          <w:lang w:val="en-GB"/>
        </w:rPr>
        <w:t>waste legislation;</w:t>
      </w:r>
      <w:r>
        <w:rPr>
          <w:rStyle w:val="FootnoteReference"/>
          <w:rFonts w:ascii="Arial" w:hAnsi="Arial" w:cs="Arial"/>
          <w:i/>
          <w:noProof/>
          <w:lang w:val="en-GB"/>
        </w:rPr>
        <w:t xml:space="preserve"> </w:t>
      </w:r>
      <w:r>
        <w:rPr>
          <w:rStyle w:val="FootnoteReference"/>
          <w:rFonts w:ascii="Arial" w:hAnsi="Arial" w:cs="Arial"/>
          <w:noProof/>
          <w:lang w:val="en-GB"/>
        </w:rPr>
        <w:footnoteReference w:id="104"/>
      </w:r>
    </w:p>
    <w:p w:rsidR="00E26342" w:rsidRDefault="00040788">
      <w:pPr>
        <w:pStyle w:val="Lijstje2"/>
        <w:spacing w:after="200"/>
        <w:ind w:left="1843" w:hanging="425"/>
        <w:rPr>
          <w:rFonts w:ascii="Arial" w:hAnsi="Arial" w:cs="Arial"/>
          <w:noProof/>
          <w:lang w:val="en-GB"/>
        </w:rPr>
      </w:pPr>
      <w:r>
        <w:rPr>
          <w:rFonts w:ascii="Arial" w:hAnsi="Arial" w:cs="Arial"/>
          <w:noProof/>
          <w:lang w:val="en-GB"/>
        </w:rPr>
        <w:t>late adoption of the second round of river basin management plans under the Water Framework Directive</w:t>
      </w:r>
      <w:r>
        <w:rPr>
          <w:rStyle w:val="FootnoteReference"/>
          <w:rFonts w:ascii="Arial" w:hAnsi="Arial" w:cs="Arial"/>
          <w:noProof/>
          <w:lang w:val="en-GB"/>
        </w:rPr>
        <w:footnoteReference w:id="105"/>
      </w:r>
      <w:r>
        <w:rPr>
          <w:rFonts w:ascii="Arial" w:hAnsi="Arial" w:cs="Arial"/>
          <w:noProof/>
          <w:lang w:val="en-GB"/>
        </w:rPr>
        <w:t>;</w:t>
      </w:r>
    </w:p>
    <w:p w:rsidR="00E26342" w:rsidRDefault="00040788">
      <w:pPr>
        <w:pStyle w:val="Lijstje2"/>
        <w:spacing w:after="200"/>
        <w:ind w:left="1843" w:hanging="425"/>
        <w:rPr>
          <w:rFonts w:ascii="Arial" w:hAnsi="Arial" w:cs="Arial"/>
          <w:noProof/>
          <w:lang w:val="en-GB"/>
        </w:rPr>
      </w:pPr>
      <w:r>
        <w:rPr>
          <w:rFonts w:ascii="Arial" w:hAnsi="Arial" w:cs="Arial"/>
          <w:noProof/>
          <w:lang w:val="en-GB"/>
        </w:rPr>
        <w:t>restrictions on the provision of transport services and free movement of goods deriving from the national law on posting of workers</w:t>
      </w:r>
      <w:r>
        <w:rPr>
          <w:rStyle w:val="FootnoteReference"/>
          <w:noProof/>
        </w:rPr>
        <w:footnoteReference w:id="106"/>
      </w:r>
      <w:r>
        <w:rPr>
          <w:rFonts w:ascii="Arial" w:hAnsi="Arial" w:cs="Arial"/>
          <w:noProof/>
          <w:lang w:val="en-GB"/>
        </w:rPr>
        <w:t>.</w:t>
      </w:r>
    </w:p>
    <w:p w:rsidR="00E26342" w:rsidRDefault="00040788">
      <w:pPr>
        <w:pStyle w:val="Lijstje"/>
        <w:numPr>
          <w:ilvl w:val="0"/>
          <w:numId w:val="60"/>
        </w:numPr>
        <w:ind w:left="1276" w:hanging="425"/>
        <w:rPr>
          <w:noProof/>
        </w:rPr>
      </w:pPr>
      <w:r>
        <w:rPr>
          <w:noProof/>
        </w:rPr>
        <w:t>The Commission did not refer any cases to the Court under Article 258 TFEU.</w:t>
      </w:r>
    </w:p>
    <w:p w:rsidR="00E26342" w:rsidRDefault="00040788">
      <w:pPr>
        <w:pStyle w:val="Lijstje"/>
        <w:numPr>
          <w:ilvl w:val="0"/>
          <w:numId w:val="60"/>
        </w:numPr>
        <w:ind w:left="1276" w:hanging="425"/>
        <w:rPr>
          <w:noProof/>
        </w:rPr>
      </w:pPr>
      <w:r>
        <w:rPr>
          <w:noProof/>
        </w:rPr>
        <w:t>The Commission did not refer any cases to the Court under Article 260(2) TFEU.</w:t>
      </w:r>
      <w:r>
        <w:rPr>
          <w:noProof/>
        </w:rPr>
        <w:br w:type="page"/>
      </w:r>
    </w:p>
    <w:p w:rsidR="00E26342" w:rsidRDefault="00040788">
      <w:pPr>
        <w:pStyle w:val="kop2"/>
        <w:numPr>
          <w:ilvl w:val="0"/>
          <w:numId w:val="59"/>
        </w:numPr>
        <w:spacing w:after="240"/>
        <w:ind w:left="709" w:hanging="425"/>
        <w:rPr>
          <w:noProof/>
        </w:rPr>
      </w:pPr>
      <w:r>
        <w:rPr>
          <w:noProof/>
        </w:rPr>
        <w:t>TRANSPOSITION OF DIRECTIVES</w:t>
      </w:r>
    </w:p>
    <w:p w:rsidR="00E26342" w:rsidRDefault="00040788">
      <w:pPr>
        <w:pStyle w:val="AnnualReport2"/>
        <w:numPr>
          <w:ilvl w:val="0"/>
          <w:numId w:val="140"/>
        </w:numPr>
        <w:ind w:left="709" w:hanging="425"/>
        <w:rPr>
          <w:noProof/>
        </w:rPr>
      </w:pPr>
      <w:r>
        <w:rPr>
          <w:noProof/>
        </w:rPr>
        <w:t>Late transposition infringement cases against Austria open on 31 Dece</w:t>
      </w:r>
      <w:r>
        <w:rPr>
          <w:noProof/>
        </w:rPr>
        <w:t>mber (2013-2017)</w:t>
      </w:r>
    </w:p>
    <w:p w:rsidR="00E26342" w:rsidRDefault="00040788">
      <w:pPr>
        <w:ind w:left="426" w:firstLine="283"/>
        <w:rPr>
          <w:noProof/>
        </w:rPr>
      </w:pPr>
      <w:r>
        <w:rPr>
          <w:noProof/>
          <w:lang w:eastAsia="en-GB"/>
        </w:rPr>
        <w:drawing>
          <wp:inline distT="0" distB="0" distL="0" distR="0" wp14:anchorId="1FAE405B" wp14:editId="7AE7AA16">
            <wp:extent cx="4612005" cy="1995805"/>
            <wp:effectExtent l="0" t="0" r="17145" b="23495"/>
            <wp:docPr id="219" name="Grafiek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E26342" w:rsidRDefault="00040788">
      <w:pPr>
        <w:pStyle w:val="AnnualReport2"/>
        <w:numPr>
          <w:ilvl w:val="0"/>
          <w:numId w:val="140"/>
        </w:numPr>
        <w:ind w:left="709" w:hanging="425"/>
        <w:rPr>
          <w:noProof/>
        </w:rPr>
      </w:pPr>
      <w:r>
        <w:rPr>
          <w:noProof/>
        </w:rPr>
        <w:t>New late transposition infringement cases against Austria (2013-2017)</w:t>
      </w:r>
    </w:p>
    <w:p w:rsidR="00E26342" w:rsidRDefault="00040788">
      <w:pPr>
        <w:pStyle w:val="Body"/>
        <w:rPr>
          <w:noProof/>
          <w:lang w:val="en-GB"/>
        </w:rPr>
      </w:pPr>
      <w:r>
        <w:rPr>
          <w:noProof/>
          <w:lang w:val="en-GB" w:eastAsia="en-GB"/>
        </w:rPr>
        <w:drawing>
          <wp:inline distT="0" distB="0" distL="0" distR="0" wp14:anchorId="247515B0" wp14:editId="3ACDD8FB">
            <wp:extent cx="4596130" cy="2003425"/>
            <wp:effectExtent l="0" t="0" r="13970" b="15875"/>
            <wp:docPr id="220"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E26342" w:rsidRDefault="00040788">
      <w:pPr>
        <w:pStyle w:val="AnnualReport2"/>
        <w:numPr>
          <w:ilvl w:val="0"/>
          <w:numId w:val="140"/>
        </w:numPr>
        <w:ind w:left="709" w:hanging="425"/>
        <w:rPr>
          <w:noProof/>
        </w:rPr>
      </w:pPr>
      <w:r>
        <w:rPr>
          <w:noProof/>
        </w:rPr>
        <w:t>New late transposition infringement cases opened in 2017: main policy areas</w:t>
      </w:r>
    </w:p>
    <w:p w:rsidR="00E26342" w:rsidRDefault="00040788">
      <w:pPr>
        <w:pStyle w:val="Body"/>
        <w:jc w:val="left"/>
        <w:rPr>
          <w:noProof/>
          <w:lang w:val="en-GB"/>
        </w:rPr>
      </w:pPr>
      <w:r>
        <w:rPr>
          <w:noProof/>
          <w:lang w:val="en-GB" w:eastAsia="en-GB"/>
        </w:rPr>
        <w:drawing>
          <wp:inline distT="0" distB="0" distL="0" distR="0" wp14:anchorId="0609D913" wp14:editId="42D950BF">
            <wp:extent cx="4580255" cy="2250440"/>
            <wp:effectExtent l="0" t="0" r="10795" b="16510"/>
            <wp:docPr id="221" name="Object 2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E26342" w:rsidRDefault="00040788">
      <w:pPr>
        <w:pStyle w:val="AnnualReport2"/>
        <w:numPr>
          <w:ilvl w:val="0"/>
          <w:numId w:val="140"/>
        </w:numPr>
        <w:ind w:left="709" w:hanging="425"/>
        <w:rPr>
          <w:noProof/>
        </w:rPr>
      </w:pPr>
      <w:r>
        <w:rPr>
          <w:noProof/>
        </w:rPr>
        <w:t>Referrals to the Court</w:t>
      </w:r>
    </w:p>
    <w:p w:rsidR="00E26342" w:rsidRDefault="00040788">
      <w:pPr>
        <w:spacing w:after="120"/>
        <w:ind w:firstLine="360"/>
        <w:rPr>
          <w:rFonts w:ascii="Arial" w:eastAsia="Calibri" w:hAnsi="Arial" w:cs="Arial"/>
          <w:noProof/>
          <w:kern w:val="20"/>
          <w:sz w:val="20"/>
        </w:rPr>
      </w:pPr>
      <w:r>
        <w:rPr>
          <w:rFonts w:ascii="Arial" w:eastAsia="Calibri" w:hAnsi="Arial" w:cs="Arial"/>
          <w:noProof/>
          <w:kern w:val="20"/>
          <w:sz w:val="20"/>
        </w:rPr>
        <w:t xml:space="preserve">The Commission did not refer any cases to the Court under </w:t>
      </w:r>
      <w:r>
        <w:rPr>
          <w:rFonts w:ascii="Arial" w:eastAsia="Calibri" w:hAnsi="Arial" w:cs="Arial"/>
          <w:noProof/>
          <w:kern w:val="20"/>
          <w:sz w:val="20"/>
        </w:rPr>
        <w:t>Articles 258 and 260(3) TFEU.</w:t>
      </w:r>
      <w:r>
        <w:rPr>
          <w:rFonts w:ascii="Arial" w:eastAsia="Calibri" w:hAnsi="Arial" w:cs="Arial"/>
          <w:noProof/>
          <w:kern w:val="20"/>
          <w:sz w:val="20"/>
        </w:rPr>
        <w:br w:type="page"/>
      </w:r>
    </w:p>
    <w:p w:rsidR="00E26342" w:rsidRDefault="00040788">
      <w:pPr>
        <w:pStyle w:val="kop2"/>
        <w:numPr>
          <w:ilvl w:val="0"/>
          <w:numId w:val="59"/>
        </w:numPr>
        <w:spacing w:before="120" w:after="240"/>
        <w:ind w:left="709" w:hanging="425"/>
        <w:rPr>
          <w:noProof/>
        </w:rPr>
      </w:pPr>
      <w:r>
        <w:rPr>
          <w:noProof/>
        </w:rPr>
        <w:t>EARLY RESOLUTION OF INFRINGEMENT CASES</w:t>
      </w:r>
    </w:p>
    <w:p w:rsidR="00E26342" w:rsidRDefault="00040788">
      <w:pPr>
        <w:pStyle w:val="Subtitle"/>
        <w:numPr>
          <w:ilvl w:val="0"/>
          <w:numId w:val="0"/>
        </w:numPr>
        <w:ind w:left="709"/>
        <w:rPr>
          <w:noProof/>
        </w:rPr>
      </w:pPr>
      <w:r>
        <w:rPr>
          <w:noProof/>
        </w:rPr>
        <w:t>Major cases closed without a Court judgment in 2017</w:t>
      </w:r>
    </w:p>
    <w:p w:rsidR="00E26342" w:rsidRDefault="00040788">
      <w:pPr>
        <w:pStyle w:val="Body"/>
        <w:ind w:left="709" w:firstLine="0"/>
        <w:rPr>
          <w:noProof/>
          <w:lang w:val="en-GB"/>
        </w:rPr>
      </w:pPr>
      <w:r>
        <w:rPr>
          <w:noProof/>
          <w:lang w:val="en-GB"/>
        </w:rPr>
        <w:t>These concerned:</w:t>
      </w:r>
    </w:p>
    <w:p w:rsidR="00E26342" w:rsidRDefault="00040788">
      <w:pPr>
        <w:pStyle w:val="Lijstje2"/>
        <w:numPr>
          <w:ilvl w:val="0"/>
          <w:numId w:val="31"/>
        </w:numPr>
        <w:spacing w:after="200"/>
        <w:ind w:left="1276" w:hanging="425"/>
        <w:rPr>
          <w:rFonts w:ascii="Arial" w:hAnsi="Arial" w:cs="Arial"/>
          <w:noProof/>
          <w:lang w:val="en-GB"/>
        </w:rPr>
      </w:pPr>
      <w:r>
        <w:rPr>
          <w:rFonts w:ascii="Arial" w:hAnsi="Arial" w:cs="Arial"/>
          <w:noProof/>
          <w:lang w:val="en-GB"/>
        </w:rPr>
        <w:t>non-communication of national measures transposing the:</w:t>
      </w:r>
    </w:p>
    <w:p w:rsidR="00E26342" w:rsidRDefault="00040788">
      <w:pPr>
        <w:pStyle w:val="Lijstje2"/>
        <w:numPr>
          <w:ilvl w:val="1"/>
          <w:numId w:val="31"/>
        </w:numPr>
        <w:spacing w:after="200"/>
        <w:ind w:left="1843" w:hanging="425"/>
        <w:rPr>
          <w:rFonts w:ascii="Arial" w:hAnsi="Arial" w:cs="Arial"/>
          <w:noProof/>
          <w:lang w:val="en-GB"/>
        </w:rPr>
      </w:pPr>
      <w:r>
        <w:rPr>
          <w:rFonts w:ascii="Arial" w:hAnsi="Arial" w:cs="Arial"/>
          <w:noProof/>
          <w:lang w:val="en-GB"/>
        </w:rPr>
        <w:t>Directive on recognition of professional qualifications</w:t>
      </w:r>
      <w:r>
        <w:rPr>
          <w:rStyle w:val="FootnoteReference"/>
          <w:noProof/>
        </w:rPr>
        <w:footnoteReference w:id="107"/>
      </w:r>
      <w:r>
        <w:rPr>
          <w:rFonts w:ascii="Arial" w:hAnsi="Arial" w:cs="Arial"/>
          <w:noProof/>
          <w:lang w:val="en-GB"/>
        </w:rPr>
        <w:t>;</w:t>
      </w:r>
    </w:p>
    <w:p w:rsidR="00E26342" w:rsidRDefault="00040788">
      <w:pPr>
        <w:pStyle w:val="Lijstje2"/>
        <w:numPr>
          <w:ilvl w:val="1"/>
          <w:numId w:val="31"/>
        </w:numPr>
        <w:ind w:left="1843" w:hanging="425"/>
        <w:rPr>
          <w:rFonts w:ascii="Arial" w:hAnsi="Arial" w:cs="Arial"/>
          <w:noProof/>
          <w:lang w:val="en-GB"/>
        </w:rPr>
      </w:pPr>
      <w:r>
        <w:rPr>
          <w:rFonts w:ascii="Arial" w:hAnsi="Arial" w:cs="Arial"/>
          <w:noProof/>
          <w:lang w:val="en-GB"/>
        </w:rPr>
        <w:t>Solvency II Directive</w:t>
      </w:r>
      <w:r>
        <w:rPr>
          <w:rStyle w:val="FootnoteReference"/>
          <w:noProof/>
          <w:lang w:val="en-GB"/>
        </w:rPr>
        <w:footnoteReference w:id="108"/>
      </w:r>
      <w:r>
        <w:rPr>
          <w:rFonts w:ascii="Arial" w:hAnsi="Arial" w:cs="Arial"/>
          <w:noProof/>
          <w:lang w:val="en-GB"/>
        </w:rPr>
        <w:t>;</w:t>
      </w:r>
    </w:p>
    <w:p w:rsidR="00E26342" w:rsidRDefault="00040788">
      <w:pPr>
        <w:pStyle w:val="Lijstje2"/>
        <w:numPr>
          <w:ilvl w:val="1"/>
          <w:numId w:val="31"/>
        </w:numPr>
        <w:ind w:left="1843" w:hanging="425"/>
        <w:rPr>
          <w:rFonts w:ascii="Arial" w:hAnsi="Arial" w:cs="Arial"/>
          <w:noProof/>
          <w:lang w:val="en-GB"/>
        </w:rPr>
      </w:pPr>
      <w:r>
        <w:rPr>
          <w:rFonts w:ascii="Arial" w:hAnsi="Arial" w:cs="Arial"/>
          <w:noProof/>
          <w:lang w:val="en-GB"/>
        </w:rPr>
        <w:t>Omnibus II Directive in respect of the powers of the European Insurance and Occupational Pensions Authority and the European Securities and Markets Authority</w:t>
      </w:r>
      <w:r>
        <w:rPr>
          <w:rStyle w:val="FootnoteReference"/>
          <w:noProof/>
          <w:lang w:val="en-GB"/>
        </w:rPr>
        <w:footnoteReference w:id="109"/>
      </w:r>
      <w:r>
        <w:rPr>
          <w:rFonts w:ascii="Arial" w:hAnsi="Arial" w:cs="Arial"/>
          <w:noProof/>
          <w:lang w:val="en-GB"/>
        </w:rPr>
        <w:t>;</w:t>
      </w:r>
    </w:p>
    <w:p w:rsidR="00E26342" w:rsidRDefault="00040788">
      <w:pPr>
        <w:pStyle w:val="Lijstje2"/>
        <w:numPr>
          <w:ilvl w:val="1"/>
          <w:numId w:val="31"/>
        </w:numPr>
        <w:spacing w:after="200"/>
        <w:ind w:left="1843" w:hanging="425"/>
        <w:rPr>
          <w:rFonts w:ascii="Arial" w:hAnsi="Arial" w:cs="Arial"/>
          <w:noProof/>
          <w:lang w:val="en-GB"/>
        </w:rPr>
      </w:pPr>
      <w:r>
        <w:rPr>
          <w:rFonts w:ascii="Arial" w:hAnsi="Arial" w:cs="Arial"/>
          <w:noProof/>
          <w:lang w:val="en-GB"/>
        </w:rPr>
        <w:t>Directive as regards disclosure of non-financial and diversity informati</w:t>
      </w:r>
      <w:r>
        <w:rPr>
          <w:rFonts w:ascii="Arial" w:hAnsi="Arial" w:cs="Arial"/>
          <w:noProof/>
          <w:lang w:val="en-GB"/>
        </w:rPr>
        <w:t>on by certain large undertakings</w:t>
      </w:r>
      <w:r>
        <w:rPr>
          <w:rStyle w:val="FootnoteReference"/>
          <w:noProof/>
        </w:rPr>
        <w:footnoteReference w:id="110"/>
      </w:r>
      <w:r>
        <w:rPr>
          <w:rFonts w:ascii="Arial" w:hAnsi="Arial" w:cs="Arial"/>
          <w:noProof/>
          <w:lang w:val="en-GB"/>
        </w:rPr>
        <w:t>;</w:t>
      </w:r>
    </w:p>
    <w:p w:rsidR="00E26342" w:rsidRDefault="00040788">
      <w:pPr>
        <w:pStyle w:val="Lijstje2"/>
        <w:numPr>
          <w:ilvl w:val="1"/>
          <w:numId w:val="31"/>
        </w:numPr>
        <w:spacing w:after="200"/>
        <w:ind w:left="1843" w:hanging="425"/>
        <w:rPr>
          <w:rFonts w:ascii="Arial" w:hAnsi="Arial" w:cs="Arial"/>
          <w:noProof/>
          <w:lang w:val="en-GB"/>
        </w:rPr>
      </w:pPr>
      <w:r>
        <w:rPr>
          <w:rFonts w:ascii="Arial" w:hAnsi="Arial" w:cs="Arial"/>
          <w:noProof/>
          <w:lang w:val="en-GB"/>
        </w:rPr>
        <w:t>Directive on port reception facilities for ship-generated waste and cargo residues</w:t>
      </w:r>
      <w:r>
        <w:rPr>
          <w:rStyle w:val="FootnoteReference"/>
          <w:noProof/>
          <w:lang w:val="en-GB"/>
        </w:rPr>
        <w:footnoteReference w:id="111"/>
      </w:r>
      <w:r>
        <w:rPr>
          <w:rFonts w:ascii="Arial" w:hAnsi="Arial" w:cs="Arial"/>
          <w:noProof/>
          <w:lang w:val="en-GB"/>
        </w:rPr>
        <w:t>;</w:t>
      </w:r>
    </w:p>
    <w:p w:rsidR="00E26342" w:rsidRDefault="00040788">
      <w:pPr>
        <w:pStyle w:val="Lijstje2"/>
        <w:numPr>
          <w:ilvl w:val="0"/>
          <w:numId w:val="31"/>
        </w:numPr>
        <w:spacing w:after="200"/>
        <w:ind w:left="1276" w:hanging="425"/>
        <w:rPr>
          <w:rFonts w:ascii="Arial" w:hAnsi="Arial" w:cs="Arial"/>
          <w:noProof/>
          <w:lang w:val="en-GB"/>
        </w:rPr>
      </w:pPr>
      <w:r>
        <w:rPr>
          <w:rFonts w:ascii="Arial" w:hAnsi="Arial" w:cs="Arial"/>
          <w:noProof/>
          <w:lang w:val="en-GB"/>
        </w:rPr>
        <w:t>non-compliance with the Directive establishing a single European railway area (separation of accounts)</w:t>
      </w:r>
      <w:r>
        <w:rPr>
          <w:rStyle w:val="FootnoteReference"/>
          <w:noProof/>
        </w:rPr>
        <w:footnoteReference w:id="112"/>
      </w:r>
      <w:r>
        <w:rPr>
          <w:rFonts w:ascii="Arial" w:hAnsi="Arial" w:cs="Arial"/>
          <w:noProof/>
          <w:lang w:val="en-GB"/>
        </w:rPr>
        <w:t>.</w:t>
      </w:r>
    </w:p>
    <w:p w:rsidR="00E26342" w:rsidRDefault="00040788">
      <w:pPr>
        <w:pStyle w:val="kop2"/>
        <w:numPr>
          <w:ilvl w:val="0"/>
          <w:numId w:val="59"/>
        </w:numPr>
        <w:spacing w:before="360" w:after="240"/>
        <w:ind w:left="709" w:hanging="425"/>
        <w:rPr>
          <w:noProof/>
        </w:rPr>
      </w:pPr>
      <w:r>
        <w:rPr>
          <w:noProof/>
        </w:rPr>
        <w:t>IMPORTANT JUDGMENTS</w:t>
      </w:r>
    </w:p>
    <w:p w:rsidR="00E26342" w:rsidRDefault="00040788">
      <w:pPr>
        <w:pStyle w:val="AnnualReport2"/>
        <w:numPr>
          <w:ilvl w:val="0"/>
          <w:numId w:val="141"/>
        </w:numPr>
        <w:ind w:left="709" w:hanging="425"/>
        <w:rPr>
          <w:noProof/>
        </w:rPr>
      </w:pPr>
      <w:r>
        <w:rPr>
          <w:noProof/>
        </w:rPr>
        <w:t>Court rulin</w:t>
      </w:r>
      <w:r>
        <w:rPr>
          <w:noProof/>
        </w:rPr>
        <w:t>gs</w:t>
      </w:r>
    </w:p>
    <w:p w:rsidR="00E26342" w:rsidRDefault="00040788">
      <w:pPr>
        <w:pStyle w:val="Body"/>
        <w:rPr>
          <w:noProof/>
          <w:lang w:val="en-GB"/>
        </w:rPr>
      </w:pPr>
      <w:r>
        <w:rPr>
          <w:noProof/>
          <w:lang w:val="en-GB"/>
        </w:rPr>
        <w:t>There were no major Court rulings in 2017.</w:t>
      </w:r>
    </w:p>
    <w:p w:rsidR="00E26342" w:rsidRDefault="00040788">
      <w:pPr>
        <w:pStyle w:val="AnnualReport2"/>
        <w:numPr>
          <w:ilvl w:val="0"/>
          <w:numId w:val="141"/>
        </w:numPr>
        <w:ind w:left="709" w:hanging="425"/>
        <w:rPr>
          <w:noProof/>
        </w:rPr>
      </w:pPr>
      <w:r>
        <w:rPr>
          <w:noProof/>
        </w:rPr>
        <w:t>Preliminary rulings</w:t>
      </w:r>
    </w:p>
    <w:p w:rsidR="00E26342" w:rsidRDefault="00040788">
      <w:pPr>
        <w:pStyle w:val="Body"/>
        <w:rPr>
          <w:noProof/>
          <w:lang w:val="en-GB"/>
        </w:rPr>
      </w:pPr>
      <w:r>
        <w:rPr>
          <w:noProof/>
          <w:lang w:val="en-GB"/>
        </w:rPr>
        <w:t xml:space="preserve">The Court addressed the following preliminary rulings to the Austrian judiciary. </w:t>
      </w:r>
    </w:p>
    <w:p w:rsidR="00E26342" w:rsidRDefault="00040788">
      <w:pPr>
        <w:numPr>
          <w:ilvl w:val="0"/>
          <w:numId w:val="2"/>
        </w:numPr>
        <w:spacing w:after="120"/>
        <w:ind w:left="1276" w:hanging="425"/>
        <w:rPr>
          <w:rFonts w:ascii="Arial" w:eastAsia="Calibri" w:hAnsi="Arial" w:cs="Arial"/>
          <w:noProof/>
          <w:kern w:val="20"/>
          <w:sz w:val="20"/>
        </w:rPr>
      </w:pPr>
      <w:r>
        <w:rPr>
          <w:rFonts w:ascii="Arial" w:eastAsia="Calibri" w:hAnsi="Arial" w:cs="Arial"/>
          <w:noProof/>
          <w:kern w:val="20"/>
          <w:sz w:val="20"/>
        </w:rPr>
        <w:t xml:space="preserve">Where the transfer of a third-country national to the Member State that, according to the Dublin mechanism, </w:t>
      </w:r>
      <w:r>
        <w:rPr>
          <w:rFonts w:ascii="Arial" w:eastAsia="Calibri" w:hAnsi="Arial" w:cs="Arial"/>
          <w:noProof/>
          <w:kern w:val="20"/>
          <w:sz w:val="20"/>
        </w:rPr>
        <w:t>is responsible for examining his application for international protection does not take place within the six-month time limit, the responsibility for examination is transferred automatically to the Member State which requested that charge be taken of the p</w:t>
      </w:r>
      <w:r>
        <w:rPr>
          <w:rFonts w:ascii="Arial" w:eastAsia="Calibri" w:hAnsi="Arial" w:cs="Arial"/>
          <w:noProof/>
          <w:kern w:val="20"/>
          <w:sz w:val="20"/>
        </w:rPr>
        <w:t>erson concerned. It is not necessary for the Member State responsible to refuse to take charge of that person</w:t>
      </w:r>
      <w:r>
        <w:rPr>
          <w:rStyle w:val="FootnoteReference"/>
          <w:rFonts w:ascii="Arial" w:eastAsia="Calibri" w:hAnsi="Arial" w:cs="Arial"/>
          <w:noProof/>
          <w:kern w:val="20"/>
          <w:sz w:val="20"/>
        </w:rPr>
        <w:footnoteReference w:id="113"/>
      </w:r>
      <w:r>
        <w:rPr>
          <w:rFonts w:ascii="Arial" w:eastAsia="Calibri" w:hAnsi="Arial" w:cs="Arial"/>
          <w:noProof/>
          <w:kern w:val="20"/>
          <w:sz w:val="20"/>
        </w:rPr>
        <w:t>.</w:t>
      </w:r>
    </w:p>
    <w:p w:rsidR="00E26342" w:rsidRDefault="00040788">
      <w:pPr>
        <w:numPr>
          <w:ilvl w:val="0"/>
          <w:numId w:val="2"/>
        </w:numPr>
        <w:spacing w:after="120"/>
        <w:ind w:left="1276" w:hanging="425"/>
        <w:rPr>
          <w:rFonts w:ascii="Arial" w:hAnsi="Arial" w:cs="Arial"/>
          <w:i/>
          <w:noProof/>
          <w:sz w:val="20"/>
        </w:rPr>
      </w:pPr>
      <w:r>
        <w:rPr>
          <w:rFonts w:ascii="Arial" w:hAnsi="Arial" w:cs="Arial"/>
          <w:noProof/>
          <w:sz w:val="20"/>
        </w:rPr>
        <w:t>An environmental organisation duly constituted and operating in accordance with the requirements of national law must be able to challenge before a court a decision authorising a project that may be contrary to the obligation to prevent deterioration of th</w:t>
      </w:r>
      <w:r>
        <w:rPr>
          <w:rFonts w:ascii="Arial" w:hAnsi="Arial" w:cs="Arial"/>
          <w:noProof/>
          <w:sz w:val="20"/>
        </w:rPr>
        <w:t xml:space="preserve">e condition of water bodies. The imposition on an </w:t>
      </w:r>
      <w:r>
        <w:rPr>
          <w:rFonts w:ascii="Arial" w:eastAsia="Calibri" w:hAnsi="Arial" w:cs="Arial"/>
          <w:noProof/>
          <w:kern w:val="20"/>
          <w:sz w:val="20"/>
        </w:rPr>
        <w:t>environmental</w:t>
      </w:r>
      <w:r>
        <w:rPr>
          <w:rFonts w:ascii="Arial" w:hAnsi="Arial" w:cs="Arial"/>
          <w:noProof/>
          <w:sz w:val="20"/>
        </w:rPr>
        <w:t xml:space="preserve"> organisation of a time limit leading to it losing both its status as a party to the administrative procedure for the authorisation of a project and its right to bring an action against the dec</w:t>
      </w:r>
      <w:r>
        <w:rPr>
          <w:rFonts w:ascii="Arial" w:hAnsi="Arial" w:cs="Arial"/>
          <w:noProof/>
          <w:sz w:val="20"/>
        </w:rPr>
        <w:t>ision issued at the end of that procedure constitutes an excessive restriction of the right to bring judicial proceedings</w:t>
      </w:r>
      <w:r>
        <w:rPr>
          <w:rStyle w:val="FootnoteReference"/>
          <w:rFonts w:ascii="Arial" w:hAnsi="Arial" w:cs="Arial"/>
          <w:noProof/>
          <w:sz w:val="20"/>
        </w:rPr>
        <w:footnoteReference w:id="114"/>
      </w:r>
      <w:r>
        <w:rPr>
          <w:rFonts w:ascii="Arial" w:hAnsi="Arial" w:cs="Arial"/>
          <w:noProof/>
          <w:sz w:val="20"/>
        </w:rPr>
        <w:t>.</w:t>
      </w:r>
    </w:p>
    <w:p w:rsidR="00E26342" w:rsidRDefault="00040788">
      <w:pPr>
        <w:numPr>
          <w:ilvl w:val="0"/>
          <w:numId w:val="225"/>
        </w:numPr>
        <w:spacing w:after="120"/>
        <w:rPr>
          <w:rFonts w:ascii="Arial" w:hAnsi="Arial" w:cs="Arial"/>
          <w:i/>
          <w:noProof/>
          <w:sz w:val="20"/>
        </w:rPr>
      </w:pPr>
      <w:r>
        <w:rPr>
          <w:rFonts w:ascii="Arial" w:hAnsi="Arial" w:cs="Arial"/>
          <w:noProof/>
          <w:sz w:val="20"/>
        </w:rPr>
        <w:t>The Environmental Liability Directive applies to environmental damage occurring after 30 April 2007 but caused by the operation of a</w:t>
      </w:r>
      <w:r>
        <w:rPr>
          <w:rFonts w:ascii="Arial" w:hAnsi="Arial" w:cs="Arial"/>
          <w:noProof/>
          <w:sz w:val="20"/>
        </w:rPr>
        <w:t xml:space="preserve"> facility authorised and put into operation before that date. National legislation is not compatible with EU law if it automatically excludes from qualification as ‘environmental damage’ damage which has a significant adverse effect on the ecological, chem</w:t>
      </w:r>
      <w:r>
        <w:rPr>
          <w:rFonts w:ascii="Arial" w:hAnsi="Arial" w:cs="Arial"/>
          <w:noProof/>
          <w:sz w:val="20"/>
        </w:rPr>
        <w:t xml:space="preserve">ical or quantitative status or ecological potential of water, solely based on the fact that it is </w:t>
      </w:r>
      <w:r>
        <w:rPr>
          <w:rFonts w:ascii="Arial" w:eastAsia="Calibri" w:hAnsi="Arial" w:cs="Arial"/>
          <w:noProof/>
          <w:kern w:val="20"/>
          <w:sz w:val="20"/>
        </w:rPr>
        <w:t>covered</w:t>
      </w:r>
      <w:r>
        <w:rPr>
          <w:rFonts w:ascii="Arial" w:hAnsi="Arial" w:cs="Arial"/>
          <w:noProof/>
          <w:sz w:val="20"/>
        </w:rPr>
        <w:t xml:space="preserve"> by an authorisation granted under that national legislation. Also not compatible with EU law is national legislation which does not entitle people hol</w:t>
      </w:r>
      <w:r>
        <w:rPr>
          <w:rFonts w:ascii="Arial" w:hAnsi="Arial" w:cs="Arial"/>
          <w:noProof/>
          <w:sz w:val="20"/>
        </w:rPr>
        <w:t>ding fishing rights to initiate a review procedure for environmental damage</w:t>
      </w:r>
      <w:r>
        <w:rPr>
          <w:rStyle w:val="FootnoteReference"/>
          <w:rFonts w:ascii="Arial" w:hAnsi="Arial" w:cs="Arial"/>
          <w:noProof/>
          <w:sz w:val="20"/>
        </w:rPr>
        <w:footnoteReference w:id="115"/>
      </w:r>
      <w:r>
        <w:rPr>
          <w:rFonts w:ascii="Arial" w:hAnsi="Arial" w:cs="Arial"/>
          <w:noProof/>
          <w:sz w:val="20"/>
        </w:rPr>
        <w:t>.</w:t>
      </w:r>
    </w:p>
    <w:p w:rsidR="00E26342" w:rsidRDefault="00E26342">
      <w:pPr>
        <w:pStyle w:val="Body"/>
        <w:rPr>
          <w:noProof/>
          <w:lang w:val="en-GB"/>
        </w:rPr>
      </w:pPr>
    </w:p>
    <w:p w:rsidR="00E26342" w:rsidRDefault="00E26342">
      <w:pPr>
        <w:pStyle w:val="Heading1"/>
        <w:jc w:val="both"/>
        <w:rPr>
          <w:noProof/>
        </w:rPr>
        <w:sectPr w:rsidR="00E26342">
          <w:headerReference w:type="even" r:id="rId98"/>
          <w:headerReference w:type="default" r:id="rId99"/>
          <w:footerReference w:type="even" r:id="rId100"/>
          <w:footerReference w:type="default" r:id="rId101"/>
          <w:headerReference w:type="first" r:id="rId102"/>
          <w:footerReference w:type="first" r:id="rId103"/>
          <w:footnotePr>
            <w:numRestart w:val="eachSect"/>
          </w:footnotePr>
          <w:pgSz w:w="11906" w:h="16838"/>
          <w:pgMar w:top="1843" w:right="1417" w:bottom="1134" w:left="1417" w:header="567" w:footer="351" w:gutter="0"/>
          <w:cols w:space="708"/>
          <w:titlePg/>
          <w:docGrid w:linePitch="360"/>
        </w:sectPr>
      </w:pPr>
    </w:p>
    <w:p w:rsidR="00E26342" w:rsidRDefault="00040788">
      <w:pPr>
        <w:pStyle w:val="Heading1"/>
        <w:rPr>
          <w:noProof/>
        </w:rPr>
      </w:pPr>
      <w:bookmarkStart w:id="31" w:name="_Toc484622337"/>
      <w:bookmarkStart w:id="32" w:name="_Toc510015286"/>
      <w:r>
        <w:rPr>
          <w:noProof/>
        </w:rPr>
        <w:t>Poland</w:t>
      </w:r>
      <w:bookmarkEnd w:id="28"/>
      <w:bookmarkEnd w:id="29"/>
      <w:bookmarkEnd w:id="30"/>
      <w:bookmarkEnd w:id="31"/>
      <w:bookmarkEnd w:id="32"/>
    </w:p>
    <w:p w:rsidR="00E26342" w:rsidRDefault="00040788">
      <w:pPr>
        <w:pStyle w:val="AnnualReport1"/>
        <w:numPr>
          <w:ilvl w:val="0"/>
          <w:numId w:val="207"/>
        </w:numPr>
        <w:spacing w:after="240"/>
        <w:ind w:left="709" w:hanging="425"/>
        <w:rPr>
          <w:noProof/>
        </w:rPr>
      </w:pPr>
      <w:r>
        <w:rPr>
          <w:noProof/>
        </w:rPr>
        <w:t>COMPLAINTS</w:t>
      </w:r>
    </w:p>
    <w:p w:rsidR="00E26342" w:rsidRDefault="00040788">
      <w:pPr>
        <w:pStyle w:val="Subtitle"/>
        <w:rPr>
          <w:noProof/>
        </w:rPr>
      </w:pPr>
      <w:r>
        <w:rPr>
          <w:noProof/>
        </w:rPr>
        <w:t>New complaints made against Poland by members of the public (2013-2017)</w:t>
      </w:r>
    </w:p>
    <w:p w:rsidR="00E26342" w:rsidRDefault="00040788">
      <w:pPr>
        <w:spacing w:before="360"/>
        <w:ind w:firstLine="709"/>
        <w:rPr>
          <w:rFonts w:ascii="Arial" w:hAnsi="Arial" w:cs="Arial"/>
          <w:noProof/>
          <w:sz w:val="20"/>
        </w:rPr>
      </w:pPr>
      <w:r>
        <w:rPr>
          <w:rFonts w:ascii="Arial" w:hAnsi="Arial" w:cs="Arial"/>
          <w:noProof/>
          <w:sz w:val="20"/>
          <w:lang w:eastAsia="en-GB"/>
        </w:rPr>
        <w:drawing>
          <wp:inline distT="0" distB="0" distL="0" distR="0" wp14:anchorId="25FB749F" wp14:editId="3AB5CB4F">
            <wp:extent cx="4572000" cy="2210435"/>
            <wp:effectExtent l="0" t="0" r="19050" b="18415"/>
            <wp:docPr id="222"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E26342" w:rsidRDefault="00040788">
      <w:pPr>
        <w:pStyle w:val="Subtitle"/>
        <w:rPr>
          <w:noProof/>
        </w:rPr>
      </w:pPr>
      <w:r>
        <w:rPr>
          <w:noProof/>
        </w:rPr>
        <w:t>Public complaints against Poland open at year-end</w:t>
      </w:r>
    </w:p>
    <w:tbl>
      <w:tblPr>
        <w:tblW w:w="0" w:type="auto"/>
        <w:jc w:val="center"/>
        <w:tblLook w:val="04A0" w:firstRow="1" w:lastRow="0" w:firstColumn="1" w:lastColumn="0" w:noHBand="0" w:noVBand="1"/>
      </w:tblPr>
      <w:tblGrid>
        <w:gridCol w:w="1697"/>
        <w:gridCol w:w="452"/>
        <w:gridCol w:w="5310"/>
      </w:tblGrid>
      <w:tr w:rsidR="00E26342">
        <w:trPr>
          <w:trHeight w:val="403"/>
          <w:jc w:val="center"/>
        </w:trPr>
        <w:tc>
          <w:tcPr>
            <w:tcW w:w="1697" w:type="dxa"/>
            <w:shd w:val="clear" w:color="auto" w:fill="auto"/>
            <w:vAlign w:val="center"/>
          </w:tcPr>
          <w:p w:rsidR="00E26342" w:rsidRDefault="00040788">
            <w:pPr>
              <w:spacing w:after="0"/>
              <w:jc w:val="right"/>
              <w:rPr>
                <w:rFonts w:ascii="Arial" w:hAnsi="Arial" w:cs="Arial"/>
                <w:noProof/>
                <w:color w:val="548DD4"/>
                <w:sz w:val="22"/>
                <w:szCs w:val="28"/>
                <w:lang w:eastAsia="en-GB"/>
              </w:rPr>
            </w:pPr>
            <w:r>
              <w:rPr>
                <w:rFonts w:ascii="Arial" w:hAnsi="Arial" w:cs="Arial"/>
                <w:noProof/>
                <w:color w:val="C00000"/>
                <w:sz w:val="22"/>
                <w:szCs w:val="28"/>
                <w:lang w:eastAsia="en-GB"/>
              </w:rPr>
              <w:t>133</w:t>
            </w:r>
          </w:p>
        </w:tc>
        <w:tc>
          <w:tcPr>
            <w:tcW w:w="452" w:type="dxa"/>
            <w:shd w:val="clear" w:color="auto" w:fill="auto"/>
            <w:vAlign w:val="center"/>
          </w:tcPr>
          <w:p w:rsidR="00E26342" w:rsidRDefault="00040788">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E26342" w:rsidRDefault="00040788">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Complaints open at end-2016</w:t>
            </w:r>
          </w:p>
        </w:tc>
      </w:tr>
      <w:tr w:rsidR="00E26342">
        <w:trPr>
          <w:trHeight w:val="403"/>
          <w:jc w:val="center"/>
        </w:trPr>
        <w:tc>
          <w:tcPr>
            <w:tcW w:w="1697" w:type="dxa"/>
            <w:shd w:val="clear" w:color="auto" w:fill="auto"/>
            <w:vAlign w:val="center"/>
          </w:tcPr>
          <w:p w:rsidR="00E26342" w:rsidRDefault="00040788">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221</w:t>
            </w:r>
          </w:p>
        </w:tc>
        <w:tc>
          <w:tcPr>
            <w:tcW w:w="452" w:type="dxa"/>
            <w:shd w:val="clear" w:color="auto" w:fill="auto"/>
            <w:vAlign w:val="center"/>
          </w:tcPr>
          <w:p w:rsidR="00E26342" w:rsidRDefault="00040788">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E26342" w:rsidRDefault="00040788">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New complaints registered in 2017</w:t>
            </w:r>
          </w:p>
        </w:tc>
      </w:tr>
      <w:tr w:rsidR="00E26342">
        <w:trPr>
          <w:trHeight w:val="403"/>
          <w:jc w:val="center"/>
        </w:trPr>
        <w:tc>
          <w:tcPr>
            <w:tcW w:w="1697" w:type="dxa"/>
            <w:tcBorders>
              <w:bottom w:val="single" w:sz="24" w:space="0" w:color="548DD4"/>
            </w:tcBorders>
            <w:shd w:val="clear" w:color="auto" w:fill="auto"/>
            <w:vAlign w:val="center"/>
          </w:tcPr>
          <w:p w:rsidR="00E26342" w:rsidRDefault="00040788">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184</w:t>
            </w:r>
          </w:p>
        </w:tc>
        <w:tc>
          <w:tcPr>
            <w:tcW w:w="452" w:type="dxa"/>
            <w:shd w:val="clear" w:color="auto" w:fill="auto"/>
            <w:vAlign w:val="center"/>
          </w:tcPr>
          <w:p w:rsidR="00E26342" w:rsidRDefault="00040788">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E26342" w:rsidRDefault="00040788">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Complaints handled in 2017</w:t>
            </w:r>
          </w:p>
        </w:tc>
      </w:tr>
      <w:tr w:rsidR="00E26342">
        <w:trPr>
          <w:trHeight w:val="403"/>
          <w:jc w:val="center"/>
        </w:trPr>
        <w:tc>
          <w:tcPr>
            <w:tcW w:w="1697" w:type="dxa"/>
            <w:tcBorders>
              <w:top w:val="single" w:sz="24" w:space="0" w:color="548DD4"/>
            </w:tcBorders>
            <w:shd w:val="clear" w:color="auto" w:fill="auto"/>
            <w:vAlign w:val="center"/>
          </w:tcPr>
          <w:p w:rsidR="00E26342" w:rsidRDefault="00040788">
            <w:pPr>
              <w:spacing w:after="0"/>
              <w:jc w:val="right"/>
              <w:rPr>
                <w:rFonts w:ascii="Arial" w:hAnsi="Arial" w:cs="Arial"/>
                <w:noProof/>
                <w:color w:val="C00000"/>
                <w:sz w:val="22"/>
                <w:szCs w:val="28"/>
                <w:lang w:eastAsia="en-GB"/>
              </w:rPr>
            </w:pPr>
            <w:r>
              <w:rPr>
                <w:rFonts w:ascii="Arial" w:hAnsi="Arial" w:cs="Arial"/>
                <w:noProof/>
                <w:color w:val="C00000"/>
                <w:sz w:val="22"/>
                <w:szCs w:val="28"/>
                <w:lang w:eastAsia="en-GB"/>
              </w:rPr>
              <w:t>= 170</w:t>
            </w:r>
          </w:p>
        </w:tc>
        <w:tc>
          <w:tcPr>
            <w:tcW w:w="452" w:type="dxa"/>
            <w:shd w:val="clear" w:color="auto" w:fill="auto"/>
            <w:vAlign w:val="center"/>
          </w:tcPr>
          <w:p w:rsidR="00E26342" w:rsidRDefault="00040788">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E26342" w:rsidRDefault="00040788">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Complaints open at end-2017</w:t>
            </w:r>
          </w:p>
        </w:tc>
      </w:tr>
    </w:tbl>
    <w:p w:rsidR="00E26342" w:rsidRDefault="00040788">
      <w:pPr>
        <w:pStyle w:val="Subtitle"/>
        <w:rPr>
          <w:noProof/>
        </w:rPr>
      </w:pPr>
      <w:r>
        <w:rPr>
          <w:noProof/>
        </w:rPr>
        <w:t>New complaints registered in 2017: main policy areas</w:t>
      </w:r>
    </w:p>
    <w:p w:rsidR="00E26342" w:rsidRDefault="00040788">
      <w:pPr>
        <w:spacing w:before="360"/>
        <w:ind w:firstLine="709"/>
        <w:rPr>
          <w:rFonts w:ascii="Arial" w:hAnsi="Arial" w:cs="Arial"/>
          <w:noProof/>
          <w:sz w:val="20"/>
        </w:rPr>
      </w:pPr>
      <w:r>
        <w:rPr>
          <w:rFonts w:ascii="Arial" w:hAnsi="Arial" w:cs="Arial"/>
          <w:noProof/>
          <w:sz w:val="20"/>
          <w:lang w:eastAsia="en-GB"/>
        </w:rPr>
        <w:drawing>
          <wp:inline distT="0" distB="0" distL="0" distR="0" wp14:anchorId="6B455D7A" wp14:editId="5F2011F8">
            <wp:extent cx="4627880" cy="2321560"/>
            <wp:effectExtent l="0" t="0" r="20320" b="21590"/>
            <wp:docPr id="223" name="Grafiek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r>
        <w:rPr>
          <w:rFonts w:ascii="Arial" w:hAnsi="Arial" w:cs="Arial"/>
          <w:noProof/>
          <w:sz w:val="20"/>
        </w:rPr>
        <w:br w:type="page"/>
      </w:r>
    </w:p>
    <w:p w:rsidR="00E26342" w:rsidRDefault="00040788">
      <w:pPr>
        <w:pStyle w:val="AnnualReport1"/>
        <w:numPr>
          <w:ilvl w:val="0"/>
          <w:numId w:val="207"/>
        </w:numPr>
        <w:spacing w:before="0" w:after="240"/>
        <w:ind w:left="709" w:hanging="425"/>
        <w:rPr>
          <w:noProof/>
        </w:rPr>
      </w:pPr>
      <w:r>
        <w:rPr>
          <w:noProof/>
        </w:rPr>
        <w:t>EU PILOT</w:t>
      </w:r>
    </w:p>
    <w:p w:rsidR="00E26342" w:rsidRDefault="00040788">
      <w:pPr>
        <w:pStyle w:val="Subtitle"/>
        <w:rPr>
          <w:noProof/>
        </w:rPr>
      </w:pPr>
      <w:r>
        <w:rPr>
          <w:noProof/>
        </w:rPr>
        <w:t>New EU Pilot files opened against Poland (2013-2017)</w:t>
      </w:r>
    </w:p>
    <w:p w:rsidR="00E26342" w:rsidRDefault="00040788">
      <w:pPr>
        <w:tabs>
          <w:tab w:val="left" w:pos="0"/>
        </w:tabs>
        <w:spacing w:before="360"/>
        <w:ind w:firstLine="709"/>
        <w:rPr>
          <w:rFonts w:ascii="Arial" w:hAnsi="Arial" w:cs="Arial"/>
          <w:noProof/>
          <w:sz w:val="20"/>
        </w:rPr>
      </w:pPr>
      <w:r>
        <w:rPr>
          <w:rFonts w:ascii="Arial" w:hAnsi="Arial" w:cs="Arial"/>
          <w:noProof/>
          <w:sz w:val="20"/>
          <w:lang w:eastAsia="en-GB"/>
        </w:rPr>
        <w:drawing>
          <wp:inline distT="0" distB="0" distL="0" distR="0" wp14:anchorId="6C5E52A6" wp14:editId="7995984C">
            <wp:extent cx="4587875" cy="2258060"/>
            <wp:effectExtent l="0" t="0" r="0" b="0"/>
            <wp:docPr id="224"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E26342" w:rsidRDefault="00040788">
      <w:pPr>
        <w:pStyle w:val="Subtitle"/>
        <w:rPr>
          <w:noProof/>
        </w:rPr>
      </w:pPr>
      <w:r>
        <w:rPr>
          <w:noProof/>
        </w:rPr>
        <w:t xml:space="preserve">Files relating to Poland </w:t>
      </w:r>
      <w:r>
        <w:rPr>
          <w:noProof/>
        </w:rPr>
        <w:t>open in EU Pilot at year-end</w:t>
      </w:r>
    </w:p>
    <w:p w:rsidR="00E26342" w:rsidRDefault="00040788">
      <w:pPr>
        <w:spacing w:before="360"/>
        <w:ind w:firstLine="709"/>
        <w:rPr>
          <w:rFonts w:ascii="Arial" w:hAnsi="Arial" w:cs="Arial"/>
          <w:noProof/>
          <w:sz w:val="20"/>
        </w:rPr>
      </w:pPr>
      <w:r>
        <w:rPr>
          <w:rFonts w:ascii="Arial" w:hAnsi="Arial" w:cs="Arial"/>
          <w:noProof/>
          <w:sz w:val="20"/>
          <w:lang w:eastAsia="en-GB"/>
        </w:rPr>
        <w:drawing>
          <wp:inline distT="0" distB="0" distL="0" distR="0" wp14:anchorId="7B008E52" wp14:editId="5F60E396">
            <wp:extent cx="4587875" cy="2258060"/>
            <wp:effectExtent l="0" t="0" r="0" b="0"/>
            <wp:docPr id="225"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E26342" w:rsidRDefault="00040788">
      <w:pPr>
        <w:pStyle w:val="Subtitle"/>
        <w:rPr>
          <w:noProof/>
        </w:rPr>
      </w:pPr>
      <w:r>
        <w:rPr>
          <w:noProof/>
        </w:rPr>
        <w:t>New EU Pilot files opened in 2017: policy areas</w:t>
      </w:r>
    </w:p>
    <w:p w:rsidR="00E26342" w:rsidRDefault="00040788">
      <w:pPr>
        <w:spacing w:after="120"/>
        <w:ind w:firstLine="709"/>
        <w:rPr>
          <w:rFonts w:ascii="Arial" w:hAnsi="Arial" w:cs="Arial"/>
          <w:noProof/>
          <w:sz w:val="20"/>
        </w:rPr>
      </w:pPr>
      <w:r>
        <w:rPr>
          <w:rFonts w:ascii="Arial" w:hAnsi="Arial" w:cs="Arial"/>
          <w:noProof/>
          <w:sz w:val="20"/>
          <w:lang w:eastAsia="en-GB"/>
        </w:rPr>
        <w:drawing>
          <wp:inline distT="0" distB="0" distL="0" distR="0" wp14:anchorId="2307DED1" wp14:editId="7FFBABEC">
            <wp:extent cx="4643755" cy="2417445"/>
            <wp:effectExtent l="0" t="0" r="23495" b="20955"/>
            <wp:docPr id="226" name="Grafiek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E26342" w:rsidRDefault="00040788">
      <w:pPr>
        <w:pStyle w:val="Subtitle"/>
        <w:rPr>
          <w:noProof/>
        </w:rPr>
      </w:pPr>
      <w:r>
        <w:rPr>
          <w:noProof/>
        </w:rPr>
        <w:t>EU Pilot files: Poland’s resolution rate in 2013-2017</w:t>
      </w:r>
    </w:p>
    <w:p w:rsidR="00E26342" w:rsidRDefault="00040788">
      <w:pPr>
        <w:spacing w:before="360"/>
        <w:ind w:firstLine="709"/>
        <w:rPr>
          <w:rFonts w:ascii="Arial" w:hAnsi="Arial" w:cs="Arial"/>
          <w:noProof/>
          <w:sz w:val="20"/>
        </w:rPr>
      </w:pPr>
      <w:r>
        <w:rPr>
          <w:rFonts w:ascii="Arial" w:hAnsi="Arial" w:cs="Arial"/>
          <w:i/>
          <w:noProof/>
          <w:sz w:val="20"/>
          <w:lang w:eastAsia="en-GB"/>
        </w:rPr>
        <w:drawing>
          <wp:inline distT="0" distB="0" distL="0" distR="0" wp14:anchorId="74FF7F2E" wp14:editId="08BF110F">
            <wp:extent cx="4610100" cy="2461260"/>
            <wp:effectExtent l="0" t="0" r="19050" b="15240"/>
            <wp:docPr id="227"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E26342" w:rsidRDefault="00040788">
      <w:pPr>
        <w:pStyle w:val="AnnualReport1"/>
        <w:numPr>
          <w:ilvl w:val="0"/>
          <w:numId w:val="207"/>
        </w:numPr>
        <w:spacing w:after="240"/>
        <w:ind w:left="709" w:hanging="425"/>
        <w:rPr>
          <w:noProof/>
        </w:rPr>
      </w:pPr>
      <w:r>
        <w:rPr>
          <w:noProof/>
        </w:rPr>
        <w:t>INFRINGEMENT CASES</w:t>
      </w:r>
    </w:p>
    <w:p w:rsidR="00E26342" w:rsidRDefault="00040788">
      <w:pPr>
        <w:pStyle w:val="AnnualReport2"/>
        <w:numPr>
          <w:ilvl w:val="0"/>
          <w:numId w:val="82"/>
        </w:numPr>
        <w:ind w:left="709" w:hanging="425"/>
        <w:rPr>
          <w:noProof/>
        </w:rPr>
      </w:pPr>
      <w:r>
        <w:rPr>
          <w:noProof/>
        </w:rPr>
        <w:t>Infringement cases against Poland open on 31 December (2013-2017)</w:t>
      </w:r>
    </w:p>
    <w:p w:rsidR="00E26342" w:rsidRDefault="00040788">
      <w:pPr>
        <w:spacing w:before="360"/>
        <w:ind w:firstLine="709"/>
        <w:rPr>
          <w:rFonts w:ascii="Arial" w:hAnsi="Arial" w:cs="Arial"/>
          <w:noProof/>
          <w:sz w:val="20"/>
        </w:rPr>
      </w:pPr>
      <w:r>
        <w:rPr>
          <w:rFonts w:ascii="Arial" w:hAnsi="Arial" w:cs="Arial"/>
          <w:noProof/>
          <w:sz w:val="20"/>
          <w:lang w:eastAsia="en-GB"/>
        </w:rPr>
        <w:drawing>
          <wp:inline distT="0" distB="0" distL="0" distR="0" wp14:anchorId="24FE1DFB" wp14:editId="43D0DC22">
            <wp:extent cx="4587240" cy="2065020"/>
            <wp:effectExtent l="0" t="0" r="22860" b="11430"/>
            <wp:docPr id="228" name="Grafiek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E26342" w:rsidRDefault="00040788">
      <w:pPr>
        <w:pStyle w:val="AnnualReport2"/>
        <w:numPr>
          <w:ilvl w:val="0"/>
          <w:numId w:val="82"/>
        </w:numPr>
        <w:ind w:left="709" w:hanging="425"/>
        <w:rPr>
          <w:noProof/>
        </w:rPr>
      </w:pPr>
      <w:r>
        <w:rPr>
          <w:noProof/>
        </w:rPr>
        <w:t>New infringement cases opened in</w:t>
      </w:r>
      <w:r>
        <w:rPr>
          <w:noProof/>
        </w:rPr>
        <w:t xml:space="preserve"> 2017: main policy areas</w:t>
      </w:r>
    </w:p>
    <w:p w:rsidR="00E26342" w:rsidRDefault="00040788">
      <w:pPr>
        <w:spacing w:before="360"/>
        <w:ind w:firstLine="709"/>
        <w:rPr>
          <w:rFonts w:ascii="Arial" w:hAnsi="Arial" w:cs="Arial"/>
          <w:noProof/>
          <w:sz w:val="20"/>
        </w:rPr>
      </w:pPr>
      <w:r>
        <w:rPr>
          <w:rFonts w:ascii="Arial" w:hAnsi="Arial" w:cs="Arial"/>
          <w:noProof/>
          <w:sz w:val="20"/>
          <w:lang w:eastAsia="en-GB"/>
        </w:rPr>
        <w:drawing>
          <wp:inline distT="0" distB="0" distL="0" distR="0" wp14:anchorId="3E99D5CD" wp14:editId="2EABDDF5">
            <wp:extent cx="4274820" cy="2232660"/>
            <wp:effectExtent l="0" t="0" r="11430" b="15240"/>
            <wp:docPr id="229" name="Object 2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E26342" w:rsidRDefault="00040788">
      <w:pPr>
        <w:pStyle w:val="AnnualReport2"/>
        <w:numPr>
          <w:ilvl w:val="0"/>
          <w:numId w:val="82"/>
        </w:numPr>
        <w:ind w:left="709" w:hanging="425"/>
        <w:rPr>
          <w:noProof/>
        </w:rPr>
      </w:pPr>
      <w:r>
        <w:rPr>
          <w:noProof/>
        </w:rPr>
        <w:t>Key infringement cases and referrals to the Court</w:t>
      </w:r>
    </w:p>
    <w:p w:rsidR="00E26342" w:rsidRDefault="00040788">
      <w:pPr>
        <w:pStyle w:val="Lijstje"/>
        <w:numPr>
          <w:ilvl w:val="0"/>
          <w:numId w:val="38"/>
        </w:numPr>
        <w:ind w:left="1276" w:hanging="425"/>
        <w:rPr>
          <w:noProof/>
        </w:rPr>
      </w:pPr>
      <w:r>
        <w:rPr>
          <w:noProof/>
        </w:rPr>
        <w:t>The Commission opened 26 new infringement cases against Poland in 2017. These, and other major ongoing infringement cases, include the following.</w:t>
      </w:r>
    </w:p>
    <w:p w:rsidR="00E26342" w:rsidRDefault="00040788">
      <w:pPr>
        <w:pStyle w:val="Lijstje2"/>
        <w:spacing w:after="0"/>
        <w:ind w:left="1843" w:hanging="425"/>
        <w:rPr>
          <w:rFonts w:ascii="Arial" w:hAnsi="Arial" w:cs="Arial"/>
          <w:noProof/>
          <w:lang w:val="en-GB"/>
        </w:rPr>
      </w:pPr>
      <w:r>
        <w:rPr>
          <w:rFonts w:ascii="Arial" w:hAnsi="Arial" w:cs="Arial"/>
          <w:noProof/>
          <w:lang w:val="en-GB"/>
        </w:rPr>
        <w:t>Incompatibility of the Polish law</w:t>
      </w:r>
      <w:r>
        <w:rPr>
          <w:rFonts w:ascii="Arial" w:hAnsi="Arial" w:cs="Arial"/>
          <w:noProof/>
          <w:lang w:val="en-GB"/>
        </w:rPr>
        <w:t xml:space="preserve"> on the Ordinary Courts Organisation with EU law because of: </w:t>
      </w:r>
    </w:p>
    <w:p w:rsidR="00E26342" w:rsidRDefault="00040788">
      <w:pPr>
        <w:pStyle w:val="Lijstje2"/>
        <w:numPr>
          <w:ilvl w:val="0"/>
          <w:numId w:val="229"/>
        </w:numPr>
        <w:rPr>
          <w:rFonts w:ascii="Arial" w:hAnsi="Arial" w:cs="Arial"/>
          <w:noProof/>
          <w:lang w:val="en-GB" w:eastAsia="en-GB"/>
        </w:rPr>
      </w:pPr>
      <w:r>
        <w:rPr>
          <w:rFonts w:ascii="Arial" w:hAnsi="Arial" w:cs="Arial"/>
          <w:noProof/>
          <w:lang w:val="en-GB" w:eastAsia="en-GB"/>
        </w:rPr>
        <w:t xml:space="preserve">discrimination on the basis of gender due to the introduction of a different retirement age for female judges (60 years) and male judges (65 years) contrary to Article 157 TFEU and the Directive on gender equality in employment; and </w:t>
      </w:r>
    </w:p>
    <w:p w:rsidR="00E26342" w:rsidRDefault="00040788">
      <w:pPr>
        <w:pStyle w:val="Lijstje2"/>
        <w:numPr>
          <w:ilvl w:val="0"/>
          <w:numId w:val="229"/>
        </w:numPr>
        <w:rPr>
          <w:rFonts w:ascii="Arial" w:hAnsi="Arial" w:cs="Arial"/>
          <w:noProof/>
          <w:szCs w:val="22"/>
          <w:lang w:val="en-GB" w:eastAsia="en-GB"/>
        </w:rPr>
      </w:pPr>
      <w:r>
        <w:rPr>
          <w:rFonts w:ascii="Arial" w:hAnsi="Arial" w:cs="Arial"/>
          <w:noProof/>
          <w:szCs w:val="22"/>
          <w:lang w:val="en-GB" w:eastAsia="en-GB"/>
        </w:rPr>
        <w:t>the discretionary powe</w:t>
      </w:r>
      <w:r>
        <w:rPr>
          <w:rFonts w:ascii="Arial" w:hAnsi="Arial" w:cs="Arial"/>
          <w:noProof/>
          <w:szCs w:val="22"/>
          <w:lang w:val="en-GB" w:eastAsia="en-GB"/>
        </w:rPr>
        <w:t xml:space="preserve">r of the Minister of Justice to prolong the mandate of judges who have reached the retirement age </w:t>
      </w:r>
      <w:r>
        <w:rPr>
          <w:rFonts w:ascii="Arial" w:hAnsi="Arial" w:cs="Arial"/>
          <w:noProof/>
          <w:lang w:val="en-GB" w:eastAsia="en-GB"/>
        </w:rPr>
        <w:t xml:space="preserve">which </w:t>
      </w:r>
      <w:r>
        <w:rPr>
          <w:rFonts w:ascii="Arial" w:hAnsi="Arial" w:cs="Arial"/>
          <w:noProof/>
          <w:lang w:val="en-GB"/>
        </w:rPr>
        <w:t>undermines the independence of Polish courts, in breach of Article 19(1) TEU and Article 47 of the Charter of Fundamental Rights</w:t>
      </w:r>
      <w:r>
        <w:rPr>
          <w:rStyle w:val="FootnoteReference"/>
          <w:rFonts w:ascii="Arial" w:hAnsi="Arial" w:cs="Arial"/>
          <w:noProof/>
        </w:rPr>
        <w:footnoteReference w:id="116"/>
      </w:r>
      <w:r>
        <w:rPr>
          <w:rFonts w:ascii="Arial" w:hAnsi="Arial" w:cs="Arial"/>
          <w:noProof/>
          <w:lang w:val="en-GB"/>
        </w:rPr>
        <w:t>.</w:t>
      </w:r>
    </w:p>
    <w:p w:rsidR="00E26342" w:rsidRDefault="00040788">
      <w:pPr>
        <w:pStyle w:val="Lijstje2"/>
        <w:spacing w:after="200"/>
        <w:ind w:left="1843" w:hanging="425"/>
        <w:rPr>
          <w:rFonts w:ascii="Arial" w:hAnsi="Arial" w:cs="Arial"/>
          <w:i/>
          <w:noProof/>
          <w:lang w:val="en-GB"/>
        </w:rPr>
      </w:pPr>
      <w:r>
        <w:rPr>
          <w:rFonts w:ascii="Arial" w:hAnsi="Arial" w:cs="Arial"/>
          <w:noProof/>
          <w:lang w:val="en-GB"/>
        </w:rPr>
        <w:t xml:space="preserve">Non-compliance with </w:t>
      </w:r>
      <w:r>
        <w:rPr>
          <w:rFonts w:ascii="Arial" w:hAnsi="Arial" w:cs="Arial"/>
          <w:noProof/>
          <w:lang w:val="en-GB"/>
        </w:rPr>
        <w:t>the Renewable Energy Directive</w:t>
      </w:r>
      <w:r>
        <w:rPr>
          <w:rStyle w:val="FootnoteReference"/>
          <w:noProof/>
          <w:lang w:val="en-GB"/>
        </w:rPr>
        <w:footnoteReference w:id="117"/>
      </w:r>
      <w:r>
        <w:rPr>
          <w:rFonts w:ascii="Arial" w:hAnsi="Arial" w:cs="Arial"/>
          <w:i/>
          <w:noProof/>
          <w:lang w:val="en-GB"/>
        </w:rPr>
        <w:t>.</w:t>
      </w:r>
    </w:p>
    <w:p w:rsidR="00E26342" w:rsidRDefault="00040788">
      <w:pPr>
        <w:pStyle w:val="Lijstje2"/>
        <w:spacing w:after="200"/>
        <w:ind w:left="1843" w:hanging="425"/>
        <w:rPr>
          <w:rFonts w:ascii="Arial" w:hAnsi="Arial" w:cs="Arial"/>
          <w:noProof/>
          <w:lang w:val="en-GB"/>
        </w:rPr>
      </w:pPr>
      <w:r>
        <w:rPr>
          <w:rFonts w:ascii="Arial" w:hAnsi="Arial" w:cs="Arial"/>
          <w:noProof/>
          <w:lang w:val="en-GB"/>
        </w:rPr>
        <w:t xml:space="preserve">Failure </w:t>
      </w:r>
      <w:r>
        <w:rPr>
          <w:rFonts w:ascii="Arial" w:hAnsi="Arial" w:cs="Arial"/>
          <w:bCs/>
          <w:noProof/>
          <w:lang w:val="en-GB"/>
        </w:rPr>
        <w:t>to carry out analysis of the relevant telecom markets on time</w:t>
      </w:r>
      <w:r>
        <w:rPr>
          <w:rStyle w:val="FootnoteReference"/>
          <w:noProof/>
        </w:rPr>
        <w:footnoteReference w:id="118"/>
      </w:r>
      <w:r>
        <w:rPr>
          <w:rFonts w:ascii="Arial" w:hAnsi="Arial" w:cs="Arial"/>
          <w:bCs/>
          <w:noProof/>
          <w:lang w:val="en-GB"/>
        </w:rPr>
        <w:t>.</w:t>
      </w:r>
    </w:p>
    <w:p w:rsidR="00E26342" w:rsidRDefault="00040788">
      <w:pPr>
        <w:pStyle w:val="Lijstje2"/>
        <w:spacing w:after="200"/>
        <w:ind w:left="1843" w:hanging="425"/>
        <w:rPr>
          <w:rFonts w:ascii="Arial" w:hAnsi="Arial" w:cs="Arial"/>
          <w:noProof/>
          <w:lang w:val="en-GB"/>
        </w:rPr>
      </w:pPr>
      <w:r>
        <w:rPr>
          <w:rFonts w:ascii="Arial" w:hAnsi="Arial" w:cs="Arial"/>
          <w:noProof/>
          <w:lang w:val="en-GB"/>
        </w:rPr>
        <w:t>Non-compliance with the obligations under the 2015 Council Decisions on relocation of migrants from Greece and Italy</w:t>
      </w:r>
      <w:r>
        <w:rPr>
          <w:rStyle w:val="FootnoteReference"/>
          <w:rFonts w:ascii="Arial" w:hAnsi="Arial" w:cs="Arial"/>
          <w:noProof/>
          <w:lang w:val="en-GB"/>
        </w:rPr>
        <w:footnoteReference w:id="119"/>
      </w:r>
      <w:r>
        <w:rPr>
          <w:rFonts w:ascii="Arial" w:hAnsi="Arial" w:cs="Arial"/>
          <w:noProof/>
          <w:lang w:val="en-GB"/>
        </w:rPr>
        <w:t>.</w:t>
      </w:r>
    </w:p>
    <w:p w:rsidR="00E26342" w:rsidRDefault="00040788">
      <w:pPr>
        <w:pStyle w:val="Lijstje2"/>
        <w:ind w:left="1843" w:hanging="425"/>
        <w:rPr>
          <w:rFonts w:ascii="Arial" w:hAnsi="Arial" w:cs="Arial"/>
          <w:i/>
          <w:noProof/>
          <w:lang w:val="en-GB"/>
        </w:rPr>
      </w:pPr>
      <w:r>
        <w:rPr>
          <w:rFonts w:ascii="Arial" w:hAnsi="Arial" w:cs="Arial"/>
          <w:noProof/>
          <w:lang w:val="en-GB"/>
        </w:rPr>
        <w:t>Failure to establish strategic n</w:t>
      </w:r>
      <w:r>
        <w:rPr>
          <w:rFonts w:ascii="Arial" w:hAnsi="Arial" w:cs="Arial"/>
          <w:noProof/>
          <w:lang w:val="en-GB"/>
        </w:rPr>
        <w:t>oise maps and action plans required by the Noise Directive</w:t>
      </w:r>
      <w:r>
        <w:rPr>
          <w:rStyle w:val="FootnoteReference"/>
          <w:rFonts w:ascii="Arial" w:hAnsi="Arial" w:cs="Arial"/>
          <w:noProof/>
          <w:lang w:val="en-GB"/>
        </w:rPr>
        <w:footnoteReference w:id="120"/>
      </w:r>
      <w:r>
        <w:rPr>
          <w:rFonts w:ascii="Arial" w:hAnsi="Arial" w:cs="Arial"/>
          <w:noProof/>
          <w:lang w:val="en-GB"/>
        </w:rPr>
        <w:t>.</w:t>
      </w:r>
    </w:p>
    <w:p w:rsidR="00E26342" w:rsidRDefault="00040788">
      <w:pPr>
        <w:pStyle w:val="Lijstje2"/>
        <w:ind w:left="1843" w:hanging="425"/>
        <w:rPr>
          <w:rFonts w:ascii="Arial" w:hAnsi="Arial" w:cs="Arial"/>
          <w:i/>
          <w:noProof/>
          <w:lang w:val="en-GB"/>
        </w:rPr>
      </w:pPr>
      <w:r>
        <w:rPr>
          <w:rFonts w:ascii="Arial" w:hAnsi="Arial" w:cs="Arial"/>
          <w:noProof/>
          <w:lang w:val="en-GB"/>
        </w:rPr>
        <w:t>Failure to adequately define the waters liable to be polluted by nitrates from agricultural sources, to designate vulnerable zones and to establish adequate measures in its action programmes</w:t>
      </w:r>
      <w:r>
        <w:rPr>
          <w:rStyle w:val="FootnoteReference"/>
          <w:rFonts w:ascii="Arial" w:hAnsi="Arial" w:cs="Arial"/>
          <w:noProof/>
          <w:lang w:val="en-GB"/>
        </w:rPr>
        <w:footnoteReference w:id="121"/>
      </w:r>
      <w:r>
        <w:rPr>
          <w:rFonts w:ascii="Arial" w:hAnsi="Arial" w:cs="Arial"/>
          <w:noProof/>
          <w:lang w:val="en-GB"/>
        </w:rPr>
        <w:t>.</w:t>
      </w:r>
    </w:p>
    <w:p w:rsidR="00E26342" w:rsidRDefault="00040788">
      <w:pPr>
        <w:pStyle w:val="Lijstje2"/>
        <w:spacing w:after="200"/>
        <w:ind w:left="1843" w:hanging="425"/>
        <w:rPr>
          <w:rFonts w:ascii="Arial" w:hAnsi="Arial" w:cs="Arial"/>
          <w:noProof/>
          <w:lang w:val="en-GB"/>
        </w:rPr>
      </w:pPr>
      <w:r>
        <w:rPr>
          <w:rFonts w:ascii="Arial" w:hAnsi="Arial" w:cs="Arial"/>
          <w:bCs/>
          <w:noProof/>
          <w:lang w:val="en-GB"/>
        </w:rPr>
        <w:t>No</w:t>
      </w:r>
      <w:r>
        <w:rPr>
          <w:rFonts w:ascii="Arial" w:hAnsi="Arial" w:cs="Arial"/>
          <w:bCs/>
          <w:noProof/>
          <w:lang w:val="en-GB"/>
        </w:rPr>
        <w:t>n-communication of national measures transposing the:</w:t>
      </w:r>
    </w:p>
    <w:p w:rsidR="00E26342" w:rsidRDefault="00040788">
      <w:pPr>
        <w:pStyle w:val="Lijstje2"/>
        <w:numPr>
          <w:ilvl w:val="2"/>
          <w:numId w:val="2"/>
        </w:numPr>
        <w:spacing w:after="200"/>
        <w:ind w:left="2410" w:hanging="425"/>
        <w:rPr>
          <w:rFonts w:ascii="Arial" w:hAnsi="Arial" w:cs="Arial"/>
          <w:noProof/>
          <w:lang w:val="en-GB"/>
        </w:rPr>
      </w:pPr>
      <w:r>
        <w:rPr>
          <w:rFonts w:ascii="Arial" w:hAnsi="Arial" w:cs="Arial"/>
          <w:noProof/>
          <w:lang w:val="en-GB"/>
        </w:rPr>
        <w:t>Cable and Satellite Directive</w:t>
      </w:r>
      <w:r>
        <w:rPr>
          <w:rStyle w:val="FootnoteReference"/>
          <w:noProof/>
        </w:rPr>
        <w:footnoteReference w:id="122"/>
      </w:r>
      <w:r>
        <w:rPr>
          <w:rFonts w:ascii="Arial" w:hAnsi="Arial" w:cs="Arial"/>
          <w:noProof/>
          <w:lang w:val="en-GB"/>
        </w:rPr>
        <w:t>;</w:t>
      </w:r>
    </w:p>
    <w:p w:rsidR="00E26342" w:rsidRDefault="00040788">
      <w:pPr>
        <w:pStyle w:val="Lijstje2"/>
        <w:numPr>
          <w:ilvl w:val="2"/>
          <w:numId w:val="2"/>
        </w:numPr>
        <w:spacing w:after="200"/>
        <w:ind w:left="2410" w:hanging="425"/>
        <w:rPr>
          <w:rFonts w:ascii="Arial" w:hAnsi="Arial" w:cs="Arial"/>
          <w:noProof/>
          <w:lang w:val="en-GB"/>
        </w:rPr>
      </w:pPr>
      <w:r>
        <w:rPr>
          <w:rFonts w:ascii="Arial" w:hAnsi="Arial" w:cs="Arial"/>
          <w:noProof/>
          <w:lang w:val="en-GB"/>
        </w:rPr>
        <w:t>Markets in Financial Instruments Directive (MiFID II) and the Audit Directive</w:t>
      </w:r>
      <w:r>
        <w:rPr>
          <w:rStyle w:val="FootnoteReference"/>
          <w:rFonts w:ascii="Arial" w:hAnsi="Arial" w:cs="Arial"/>
          <w:noProof/>
          <w:lang w:val="en-GB"/>
        </w:rPr>
        <w:footnoteReference w:id="123"/>
      </w:r>
      <w:r>
        <w:rPr>
          <w:rStyle w:val="FootnoteReference"/>
          <w:rFonts w:ascii="Arial" w:hAnsi="Arial" w:cs="Arial"/>
          <w:noProof/>
          <w:lang w:val="en-GB"/>
        </w:rPr>
        <w:t>;</w:t>
      </w:r>
    </w:p>
    <w:p w:rsidR="00E26342" w:rsidRDefault="00040788">
      <w:pPr>
        <w:pStyle w:val="Lijstje2"/>
        <w:numPr>
          <w:ilvl w:val="2"/>
          <w:numId w:val="2"/>
        </w:numPr>
        <w:spacing w:after="200"/>
        <w:ind w:left="2410" w:hanging="425"/>
        <w:rPr>
          <w:rFonts w:ascii="Arial" w:hAnsi="Arial" w:cs="Arial"/>
          <w:noProof/>
          <w:lang w:val="en-GB"/>
        </w:rPr>
      </w:pPr>
      <w:r>
        <w:rPr>
          <w:rFonts w:ascii="Arial" w:hAnsi="Arial" w:cs="Arial"/>
          <w:noProof/>
          <w:lang w:val="en-GB"/>
        </w:rPr>
        <w:t>Fourth Anti-Money Laundering Directive</w:t>
      </w:r>
      <w:r>
        <w:rPr>
          <w:rStyle w:val="FootnoteReference"/>
          <w:rFonts w:ascii="Arial" w:hAnsi="Arial" w:cs="Arial"/>
          <w:noProof/>
          <w:lang w:val="en-GB"/>
        </w:rPr>
        <w:footnoteReference w:id="124"/>
      </w:r>
      <w:r>
        <w:rPr>
          <w:rFonts w:ascii="Arial" w:hAnsi="Arial" w:cs="Arial"/>
          <w:noProof/>
          <w:lang w:val="en-GB"/>
        </w:rPr>
        <w:t>;</w:t>
      </w:r>
    </w:p>
    <w:p w:rsidR="00E26342" w:rsidRDefault="00040788">
      <w:pPr>
        <w:pStyle w:val="Lijstje2"/>
        <w:numPr>
          <w:ilvl w:val="2"/>
          <w:numId w:val="2"/>
        </w:numPr>
        <w:spacing w:after="200"/>
        <w:ind w:left="2410" w:hanging="425"/>
        <w:rPr>
          <w:rFonts w:ascii="Arial" w:hAnsi="Arial" w:cs="Arial"/>
          <w:noProof/>
          <w:lang w:val="en-GB"/>
        </w:rPr>
      </w:pPr>
      <w:r>
        <w:rPr>
          <w:rFonts w:ascii="Arial" w:hAnsi="Arial" w:cs="Arial"/>
          <w:noProof/>
          <w:lang w:val="en-GB"/>
        </w:rPr>
        <w:t>Directive on seafarers</w:t>
      </w:r>
      <w:r>
        <w:rPr>
          <w:rStyle w:val="FootnoteReference"/>
          <w:rFonts w:ascii="Arial" w:hAnsi="Arial" w:cs="Arial"/>
          <w:noProof/>
          <w:lang w:val="en-GB"/>
        </w:rPr>
        <w:footnoteReference w:id="125"/>
      </w:r>
      <w:r>
        <w:rPr>
          <w:rFonts w:ascii="Arial" w:hAnsi="Arial" w:cs="Arial"/>
          <w:noProof/>
          <w:lang w:val="en-GB"/>
        </w:rPr>
        <w:t>;</w:t>
      </w:r>
    </w:p>
    <w:p w:rsidR="00E26342" w:rsidRDefault="00040788">
      <w:pPr>
        <w:pStyle w:val="Lijstje2"/>
        <w:numPr>
          <w:ilvl w:val="2"/>
          <w:numId w:val="2"/>
        </w:numPr>
        <w:spacing w:after="200"/>
        <w:ind w:left="2410" w:hanging="425"/>
        <w:rPr>
          <w:rFonts w:ascii="Arial" w:hAnsi="Arial" w:cs="Arial"/>
          <w:noProof/>
          <w:lang w:val="en-GB"/>
        </w:rPr>
      </w:pPr>
      <w:r>
        <w:rPr>
          <w:rFonts w:ascii="Arial" w:hAnsi="Arial" w:cs="Arial"/>
          <w:noProof/>
          <w:lang w:val="en-GB"/>
        </w:rPr>
        <w:t>Directive on the organis</w:t>
      </w:r>
      <w:r>
        <w:rPr>
          <w:rFonts w:ascii="Arial" w:hAnsi="Arial" w:cs="Arial"/>
          <w:noProof/>
          <w:lang w:val="en-GB"/>
        </w:rPr>
        <w:t>ation of working time in inland waterway transport</w:t>
      </w:r>
      <w:r>
        <w:rPr>
          <w:rStyle w:val="FootnoteReference"/>
          <w:rFonts w:ascii="Arial" w:hAnsi="Arial" w:cs="Arial"/>
          <w:noProof/>
          <w:lang w:val="en-GB"/>
        </w:rPr>
        <w:footnoteReference w:id="126"/>
      </w:r>
      <w:r>
        <w:rPr>
          <w:rFonts w:ascii="Arial" w:hAnsi="Arial" w:cs="Arial"/>
          <w:noProof/>
          <w:lang w:val="en-GB"/>
        </w:rPr>
        <w:t>.</w:t>
      </w:r>
    </w:p>
    <w:p w:rsidR="00E26342" w:rsidRDefault="00040788">
      <w:pPr>
        <w:pStyle w:val="Lijstje"/>
        <w:numPr>
          <w:ilvl w:val="0"/>
          <w:numId w:val="4"/>
        </w:numPr>
        <w:ind w:left="1276" w:hanging="425"/>
        <w:rPr>
          <w:noProof/>
        </w:rPr>
      </w:pPr>
      <w:r>
        <w:rPr>
          <w:noProof/>
        </w:rPr>
        <w:t>The Commission referred three cases to the Court under Article 258 TFEU. They concern:</w:t>
      </w:r>
    </w:p>
    <w:p w:rsidR="00E26342" w:rsidRDefault="00040788">
      <w:pPr>
        <w:pStyle w:val="Lijstje2"/>
        <w:spacing w:after="0"/>
        <w:ind w:left="1843" w:hanging="425"/>
        <w:rPr>
          <w:rFonts w:ascii="Arial" w:eastAsia="Times New Roman" w:hAnsi="Arial"/>
          <w:noProof/>
          <w:kern w:val="0"/>
          <w:lang w:val="en-GB"/>
        </w:rPr>
      </w:pPr>
      <w:r>
        <w:rPr>
          <w:rFonts w:ascii="Arial" w:hAnsi="Arial" w:cs="Arial"/>
          <w:noProof/>
          <w:lang w:val="en-GB"/>
        </w:rPr>
        <w:t>non-compliance with the obligations under the 2015 Council Decisions on relocation of migrants from Greece and Italy</w:t>
      </w:r>
      <w:r>
        <w:rPr>
          <w:rStyle w:val="FootnoteReference"/>
          <w:rFonts w:ascii="Arial" w:hAnsi="Arial" w:cs="Arial"/>
          <w:noProof/>
          <w:lang w:val="en-GB"/>
        </w:rPr>
        <w:footnoteReference w:id="127"/>
      </w:r>
      <w:r>
        <w:rPr>
          <w:rFonts w:ascii="Arial" w:hAnsi="Arial" w:cs="Arial"/>
          <w:noProof/>
          <w:lang w:val="en-GB"/>
        </w:rPr>
        <w:t>;</w:t>
      </w:r>
    </w:p>
    <w:p w:rsidR="00E26342" w:rsidRDefault="00040788">
      <w:pPr>
        <w:pStyle w:val="Lijstje2"/>
        <w:spacing w:after="0"/>
        <w:ind w:left="1843" w:hanging="425"/>
        <w:rPr>
          <w:rFonts w:ascii="Arial" w:eastAsia="Times New Roman" w:hAnsi="Arial"/>
          <w:noProof/>
          <w:kern w:val="0"/>
          <w:lang w:val="en-GB"/>
        </w:rPr>
      </w:pPr>
      <w:r>
        <w:rPr>
          <w:rFonts w:ascii="Arial" w:eastAsia="Times New Roman" w:hAnsi="Arial"/>
          <w:noProof/>
          <w:kern w:val="0"/>
          <w:lang w:val="en-GB"/>
        </w:rPr>
        <w:t>implementation of the Directive on axle weights limits</w:t>
      </w:r>
      <w:r>
        <w:rPr>
          <w:rStyle w:val="FootnoteReference"/>
          <w:noProof/>
        </w:rPr>
        <w:footnoteReference w:id="128"/>
      </w:r>
      <w:r>
        <w:rPr>
          <w:rFonts w:ascii="Arial" w:eastAsia="Times New Roman" w:hAnsi="Arial"/>
          <w:noProof/>
          <w:kern w:val="0"/>
          <w:lang w:val="en-GB"/>
        </w:rPr>
        <w:t>;</w:t>
      </w:r>
    </w:p>
    <w:p w:rsidR="00E26342" w:rsidRDefault="00040788">
      <w:pPr>
        <w:pStyle w:val="Lijstje2"/>
        <w:ind w:left="1843" w:hanging="425"/>
        <w:contextualSpacing w:val="0"/>
        <w:rPr>
          <w:rFonts w:ascii="Arial" w:hAnsi="Arial" w:cs="Arial"/>
          <w:noProof/>
          <w:lang w:val="en-GB"/>
        </w:rPr>
      </w:pPr>
      <w:r>
        <w:rPr>
          <w:rFonts w:ascii="Arial" w:eastAsia="Times New Roman" w:hAnsi="Arial" w:cs="Arial"/>
          <w:noProof/>
          <w:kern w:val="0"/>
          <w:lang w:val="en-GB"/>
        </w:rPr>
        <w:t>increased</w:t>
      </w:r>
      <w:r>
        <w:rPr>
          <w:rFonts w:ascii="Arial" w:hAnsi="Arial" w:cs="Arial"/>
          <w:noProof/>
          <w:lang w:val="en-GB"/>
        </w:rPr>
        <w:t xml:space="preserve"> logging operations in the Białowieża Forest in breach of the Birds and Habitats Directives</w:t>
      </w:r>
      <w:r>
        <w:rPr>
          <w:rStyle w:val="FootnoteReference"/>
          <w:rFonts w:ascii="Arial" w:hAnsi="Arial" w:cs="Arial"/>
          <w:noProof/>
          <w:lang w:val="en-GB"/>
        </w:rPr>
        <w:footnoteReference w:id="129"/>
      </w:r>
      <w:r>
        <w:rPr>
          <w:rFonts w:ascii="Arial" w:hAnsi="Arial" w:cs="Arial"/>
          <w:noProof/>
          <w:lang w:val="en-GB"/>
        </w:rPr>
        <w:t>.</w:t>
      </w:r>
    </w:p>
    <w:p w:rsidR="00E26342" w:rsidRDefault="00040788">
      <w:pPr>
        <w:pStyle w:val="Lijstje"/>
        <w:numPr>
          <w:ilvl w:val="0"/>
          <w:numId w:val="4"/>
        </w:numPr>
        <w:ind w:left="1276" w:hanging="425"/>
        <w:rPr>
          <w:noProof/>
        </w:rPr>
      </w:pPr>
      <w:r>
        <w:rPr>
          <w:noProof/>
        </w:rPr>
        <w:t>The Commission did not refer any cases to the Court under Article 260(2) TFEU.</w:t>
      </w:r>
      <w:r>
        <w:rPr>
          <w:noProof/>
        </w:rPr>
        <w:br w:type="page"/>
      </w:r>
    </w:p>
    <w:p w:rsidR="00E26342" w:rsidRDefault="00040788">
      <w:pPr>
        <w:pStyle w:val="AnnualReport1"/>
        <w:numPr>
          <w:ilvl w:val="0"/>
          <w:numId w:val="207"/>
        </w:numPr>
        <w:spacing w:before="0" w:after="240"/>
        <w:ind w:left="709" w:hanging="425"/>
        <w:rPr>
          <w:noProof/>
        </w:rPr>
      </w:pPr>
      <w:r>
        <w:rPr>
          <w:noProof/>
        </w:rPr>
        <w:t>TRANSPOSITION</w:t>
      </w:r>
      <w:r>
        <w:rPr>
          <w:noProof/>
        </w:rPr>
        <w:t xml:space="preserve"> OF DIRECTIVES</w:t>
      </w:r>
    </w:p>
    <w:p w:rsidR="00E26342" w:rsidRDefault="00040788">
      <w:pPr>
        <w:pStyle w:val="AnnualReport2"/>
        <w:numPr>
          <w:ilvl w:val="0"/>
          <w:numId w:val="83"/>
        </w:numPr>
        <w:ind w:left="709" w:hanging="425"/>
        <w:rPr>
          <w:noProof/>
        </w:rPr>
      </w:pPr>
      <w:r>
        <w:rPr>
          <w:noProof/>
        </w:rPr>
        <w:t>Late transposition infringement cases against Poland open on 31 December (2013-2017)</w:t>
      </w:r>
    </w:p>
    <w:p w:rsidR="00E26342" w:rsidRDefault="00040788">
      <w:pPr>
        <w:pStyle w:val="Body"/>
        <w:rPr>
          <w:noProof/>
          <w:lang w:val="en-GB"/>
        </w:rPr>
      </w:pPr>
      <w:r>
        <w:rPr>
          <w:noProof/>
          <w:lang w:val="en-GB" w:eastAsia="en-GB"/>
        </w:rPr>
        <w:drawing>
          <wp:inline distT="0" distB="0" distL="0" distR="0" wp14:anchorId="126EDA98" wp14:editId="41C4C3D9">
            <wp:extent cx="4587875" cy="2146935"/>
            <wp:effectExtent l="0" t="0" r="0" b="0"/>
            <wp:docPr id="230"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E26342" w:rsidRDefault="00040788">
      <w:pPr>
        <w:pStyle w:val="AnnualReport2"/>
        <w:numPr>
          <w:ilvl w:val="0"/>
          <w:numId w:val="83"/>
        </w:numPr>
        <w:ind w:left="709" w:hanging="425"/>
        <w:rPr>
          <w:noProof/>
        </w:rPr>
      </w:pPr>
      <w:r>
        <w:rPr>
          <w:noProof/>
        </w:rPr>
        <w:t>New late transposition infringement cases against Poland (2013-2017)</w:t>
      </w:r>
    </w:p>
    <w:p w:rsidR="00E26342" w:rsidRDefault="00040788">
      <w:pPr>
        <w:spacing w:after="120"/>
        <w:ind w:firstLine="709"/>
        <w:rPr>
          <w:rFonts w:ascii="Arial" w:hAnsi="Arial" w:cs="Arial"/>
          <w:noProof/>
          <w:sz w:val="20"/>
        </w:rPr>
      </w:pPr>
      <w:r>
        <w:rPr>
          <w:rFonts w:ascii="Arial" w:hAnsi="Arial" w:cs="Arial"/>
          <w:noProof/>
          <w:sz w:val="20"/>
          <w:lang w:eastAsia="en-GB"/>
        </w:rPr>
        <w:drawing>
          <wp:inline distT="0" distB="0" distL="0" distR="0" wp14:anchorId="349A3260" wp14:editId="1A8B5ED9">
            <wp:extent cx="4587875" cy="2146935"/>
            <wp:effectExtent l="0" t="0" r="22225" b="24765"/>
            <wp:docPr id="231"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E26342" w:rsidRDefault="00040788">
      <w:pPr>
        <w:pStyle w:val="AnnualReport2"/>
        <w:numPr>
          <w:ilvl w:val="0"/>
          <w:numId w:val="83"/>
        </w:numPr>
        <w:ind w:left="709" w:hanging="425"/>
        <w:rPr>
          <w:noProof/>
        </w:rPr>
      </w:pPr>
      <w:r>
        <w:rPr>
          <w:noProof/>
        </w:rPr>
        <w:t>New late transposition infringement cases opened in 2017: main policy areas</w:t>
      </w:r>
    </w:p>
    <w:p w:rsidR="00E26342" w:rsidRDefault="00040788">
      <w:pPr>
        <w:spacing w:after="120"/>
        <w:ind w:firstLine="709"/>
        <w:rPr>
          <w:rFonts w:ascii="Arial" w:hAnsi="Arial" w:cs="Arial"/>
          <w:noProof/>
          <w:sz w:val="20"/>
        </w:rPr>
      </w:pPr>
      <w:r>
        <w:rPr>
          <w:rFonts w:ascii="Arial" w:hAnsi="Arial" w:cs="Arial"/>
          <w:noProof/>
          <w:sz w:val="20"/>
          <w:lang w:eastAsia="en-GB"/>
        </w:rPr>
        <w:drawing>
          <wp:inline distT="0" distB="0" distL="0" distR="0" wp14:anchorId="6FC279BB" wp14:editId="12C4DF0A">
            <wp:extent cx="4587875" cy="2417445"/>
            <wp:effectExtent l="0" t="0" r="22225" b="20955"/>
            <wp:docPr id="232" name="Object 2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E26342" w:rsidRDefault="00040788">
      <w:pPr>
        <w:pStyle w:val="AnnualReport2"/>
        <w:numPr>
          <w:ilvl w:val="0"/>
          <w:numId w:val="63"/>
        </w:numPr>
        <w:ind w:left="709" w:hanging="425"/>
        <w:rPr>
          <w:noProof/>
        </w:rPr>
      </w:pPr>
      <w:r>
        <w:rPr>
          <w:noProof/>
        </w:rPr>
        <w:t>Refer</w:t>
      </w:r>
      <w:r>
        <w:rPr>
          <w:noProof/>
        </w:rPr>
        <w:t>rals to the Court</w:t>
      </w:r>
    </w:p>
    <w:p w:rsidR="00E26342" w:rsidRDefault="00040788">
      <w:pPr>
        <w:spacing w:before="360"/>
        <w:ind w:left="709"/>
        <w:rPr>
          <w:rFonts w:ascii="Arial" w:eastAsia="Calibri" w:hAnsi="Arial" w:cs="Arial"/>
          <w:noProof/>
          <w:kern w:val="20"/>
          <w:sz w:val="20"/>
        </w:rPr>
      </w:pPr>
      <w:r>
        <w:rPr>
          <w:rFonts w:ascii="Arial" w:eastAsia="Calibri" w:hAnsi="Arial" w:cs="Arial"/>
          <w:noProof/>
          <w:kern w:val="20"/>
          <w:sz w:val="20"/>
        </w:rPr>
        <w:t>The Commission did not refer any cases to the Court under Articles 258 and 260(3) TFEU.</w:t>
      </w:r>
    </w:p>
    <w:p w:rsidR="00E26342" w:rsidRDefault="00040788">
      <w:pPr>
        <w:pStyle w:val="AnnualReport1"/>
        <w:numPr>
          <w:ilvl w:val="0"/>
          <w:numId w:val="207"/>
        </w:numPr>
        <w:spacing w:after="240"/>
        <w:ind w:left="709" w:hanging="425"/>
        <w:rPr>
          <w:noProof/>
        </w:rPr>
      </w:pPr>
      <w:r>
        <w:rPr>
          <w:noProof/>
        </w:rPr>
        <w:t>EARLY RESOLUTION OF INFRINGEMENT CASES</w:t>
      </w:r>
    </w:p>
    <w:p w:rsidR="00E26342" w:rsidRDefault="00040788">
      <w:pPr>
        <w:spacing w:after="60"/>
        <w:ind w:firstLine="709"/>
        <w:jc w:val="left"/>
        <w:outlineLvl w:val="1"/>
        <w:rPr>
          <w:rFonts w:ascii="Arial" w:hAnsi="Arial"/>
          <w:noProof/>
          <w:color w:val="002060"/>
          <w:sz w:val="22"/>
          <w:szCs w:val="22"/>
        </w:rPr>
      </w:pPr>
      <w:r>
        <w:rPr>
          <w:rFonts w:ascii="Arial" w:hAnsi="Arial"/>
          <w:noProof/>
          <w:color w:val="002060"/>
          <w:sz w:val="22"/>
          <w:szCs w:val="22"/>
        </w:rPr>
        <w:t>Major cases closed without a Court judgment in 2017</w:t>
      </w:r>
    </w:p>
    <w:p w:rsidR="00E26342" w:rsidRDefault="00040788">
      <w:pPr>
        <w:spacing w:before="120" w:after="120"/>
        <w:ind w:firstLine="709"/>
        <w:rPr>
          <w:rFonts w:ascii="Arial" w:hAnsi="Arial" w:cs="Arial"/>
          <w:noProof/>
          <w:sz w:val="20"/>
        </w:rPr>
      </w:pPr>
      <w:r>
        <w:rPr>
          <w:rFonts w:ascii="Arial" w:hAnsi="Arial" w:cs="Arial"/>
          <w:noProof/>
          <w:sz w:val="20"/>
        </w:rPr>
        <w:t>These concerned:</w:t>
      </w:r>
    </w:p>
    <w:p w:rsidR="00E26342" w:rsidRDefault="00040788">
      <w:pPr>
        <w:numPr>
          <w:ilvl w:val="0"/>
          <w:numId w:val="2"/>
        </w:numPr>
        <w:spacing w:after="200"/>
        <w:ind w:left="1276" w:hanging="425"/>
        <w:contextualSpacing/>
        <w:rPr>
          <w:rFonts w:ascii="Arial" w:hAnsi="Arial" w:cs="Arial"/>
          <w:noProof/>
          <w:sz w:val="20"/>
        </w:rPr>
      </w:pPr>
      <w:r>
        <w:rPr>
          <w:rFonts w:ascii="Arial" w:hAnsi="Arial" w:cs="Arial"/>
          <w:noProof/>
          <w:sz w:val="20"/>
        </w:rPr>
        <w:t xml:space="preserve">lack of implementation of certain </w:t>
      </w:r>
      <w:r>
        <w:rPr>
          <w:rFonts w:ascii="Arial" w:hAnsi="Arial" w:cs="Arial"/>
          <w:noProof/>
          <w:sz w:val="20"/>
        </w:rPr>
        <w:t>obligations under EU document security legislation</w:t>
      </w:r>
      <w:r>
        <w:rPr>
          <w:rStyle w:val="FootnoteReference"/>
          <w:rFonts w:ascii="Arial" w:hAnsi="Arial" w:cs="Arial"/>
          <w:noProof/>
          <w:sz w:val="20"/>
        </w:rPr>
        <w:footnoteReference w:id="130"/>
      </w:r>
      <w:r>
        <w:rPr>
          <w:rFonts w:ascii="Arial" w:hAnsi="Arial" w:cs="Arial"/>
          <w:noProof/>
          <w:sz w:val="20"/>
        </w:rPr>
        <w:t>;</w:t>
      </w:r>
    </w:p>
    <w:p w:rsidR="00E26342" w:rsidRDefault="00040788">
      <w:pPr>
        <w:numPr>
          <w:ilvl w:val="0"/>
          <w:numId w:val="2"/>
        </w:numPr>
        <w:spacing w:after="200"/>
        <w:ind w:left="1276" w:hanging="425"/>
        <w:contextualSpacing/>
        <w:rPr>
          <w:rFonts w:ascii="Arial" w:hAnsi="Arial" w:cs="Arial"/>
          <w:noProof/>
          <w:sz w:val="20"/>
        </w:rPr>
      </w:pPr>
      <w:r>
        <w:rPr>
          <w:rFonts w:ascii="Arial" w:hAnsi="Arial" w:cs="Arial"/>
          <w:noProof/>
          <w:sz w:val="20"/>
        </w:rPr>
        <w:t>non-communication of national measures transposing a Commission Directive</w:t>
      </w:r>
      <w:r>
        <w:rPr>
          <w:rStyle w:val="FootnoteReference"/>
          <w:rFonts w:ascii="Arial" w:hAnsi="Arial" w:cs="Arial"/>
          <w:noProof/>
          <w:sz w:val="20"/>
        </w:rPr>
        <w:footnoteReference w:id="131"/>
      </w:r>
      <w:r>
        <w:rPr>
          <w:rFonts w:ascii="Arial" w:hAnsi="Arial" w:cs="Arial"/>
          <w:noProof/>
          <w:sz w:val="20"/>
        </w:rPr>
        <w:t xml:space="preserve"> amending the Groundwater Directive</w:t>
      </w:r>
      <w:r>
        <w:rPr>
          <w:rStyle w:val="FootnoteReference"/>
          <w:rFonts w:ascii="Arial" w:hAnsi="Arial" w:cs="Arial"/>
          <w:noProof/>
          <w:sz w:val="20"/>
        </w:rPr>
        <w:footnoteReference w:id="132"/>
      </w:r>
      <w:r>
        <w:rPr>
          <w:rFonts w:ascii="Arial" w:hAnsi="Arial" w:cs="Arial"/>
          <w:noProof/>
          <w:sz w:val="20"/>
        </w:rPr>
        <w:t>;</w:t>
      </w:r>
    </w:p>
    <w:p w:rsidR="00E26342" w:rsidRDefault="00040788">
      <w:pPr>
        <w:numPr>
          <w:ilvl w:val="0"/>
          <w:numId w:val="2"/>
        </w:numPr>
        <w:spacing w:after="200"/>
        <w:ind w:left="1276" w:hanging="425"/>
        <w:contextualSpacing/>
        <w:rPr>
          <w:rFonts w:ascii="Arial" w:hAnsi="Arial" w:cs="Arial"/>
          <w:noProof/>
          <w:sz w:val="20"/>
        </w:rPr>
      </w:pPr>
      <w:r>
        <w:rPr>
          <w:rFonts w:ascii="Arial" w:hAnsi="Arial" w:cs="Arial"/>
          <w:noProof/>
          <w:sz w:val="20"/>
        </w:rPr>
        <w:t>minimum tariff requirements for patent agents;</w:t>
      </w:r>
    </w:p>
    <w:p w:rsidR="00E26342" w:rsidRDefault="00040788">
      <w:pPr>
        <w:numPr>
          <w:ilvl w:val="0"/>
          <w:numId w:val="2"/>
        </w:numPr>
        <w:spacing w:after="200"/>
        <w:ind w:left="1276" w:hanging="425"/>
        <w:contextualSpacing/>
        <w:rPr>
          <w:rFonts w:ascii="Arial" w:hAnsi="Arial" w:cs="Arial"/>
          <w:noProof/>
          <w:sz w:val="20"/>
        </w:rPr>
      </w:pPr>
      <w:r>
        <w:rPr>
          <w:rFonts w:ascii="Arial" w:hAnsi="Arial" w:cs="Arial"/>
          <w:noProof/>
          <w:sz w:val="20"/>
        </w:rPr>
        <w:t>failure to adopt a national policy framework</w:t>
      </w:r>
      <w:r>
        <w:rPr>
          <w:rFonts w:ascii="Arial" w:hAnsi="Arial" w:cs="Arial"/>
          <w:noProof/>
          <w:sz w:val="20"/>
        </w:rPr>
        <w:t xml:space="preserve"> for the development and deployment of alternative fuels infrastructure</w:t>
      </w:r>
      <w:r>
        <w:rPr>
          <w:rStyle w:val="FootnoteReference"/>
          <w:rFonts w:ascii="Arial" w:hAnsi="Arial" w:cs="Arial"/>
          <w:noProof/>
          <w:sz w:val="20"/>
        </w:rPr>
        <w:footnoteReference w:id="133"/>
      </w:r>
      <w:r>
        <w:rPr>
          <w:rFonts w:ascii="Arial" w:hAnsi="Arial" w:cs="Arial"/>
          <w:noProof/>
          <w:sz w:val="20"/>
        </w:rPr>
        <w:t>;</w:t>
      </w:r>
    </w:p>
    <w:p w:rsidR="00E26342" w:rsidRDefault="00040788">
      <w:pPr>
        <w:numPr>
          <w:ilvl w:val="0"/>
          <w:numId w:val="2"/>
        </w:numPr>
        <w:spacing w:after="200"/>
        <w:ind w:left="1276" w:hanging="425"/>
        <w:contextualSpacing/>
        <w:rPr>
          <w:rFonts w:ascii="Arial" w:hAnsi="Arial" w:cs="Arial"/>
          <w:noProof/>
          <w:sz w:val="20"/>
        </w:rPr>
      </w:pPr>
      <w:r>
        <w:rPr>
          <w:rFonts w:ascii="Arial" w:hAnsi="Arial" w:cs="Arial"/>
          <w:noProof/>
          <w:sz w:val="20"/>
        </w:rPr>
        <w:t>discriminatory airport charges</w:t>
      </w:r>
      <w:r>
        <w:rPr>
          <w:rStyle w:val="FootnoteReference"/>
          <w:rFonts w:ascii="Arial" w:hAnsi="Arial" w:cs="Arial"/>
          <w:noProof/>
          <w:sz w:val="20"/>
        </w:rPr>
        <w:footnoteReference w:id="134"/>
      </w:r>
      <w:r>
        <w:rPr>
          <w:rFonts w:ascii="Arial" w:hAnsi="Arial" w:cs="Arial"/>
          <w:noProof/>
          <w:sz w:val="20"/>
        </w:rPr>
        <w:t>;</w:t>
      </w:r>
    </w:p>
    <w:p w:rsidR="00E26342" w:rsidRDefault="00040788">
      <w:pPr>
        <w:numPr>
          <w:ilvl w:val="0"/>
          <w:numId w:val="2"/>
        </w:numPr>
        <w:spacing w:after="200"/>
        <w:ind w:left="1276" w:hanging="425"/>
        <w:contextualSpacing/>
        <w:rPr>
          <w:rFonts w:ascii="Arial" w:hAnsi="Arial" w:cs="Arial"/>
          <w:noProof/>
          <w:sz w:val="20"/>
        </w:rPr>
      </w:pPr>
      <w:r>
        <w:rPr>
          <w:rFonts w:ascii="Arial" w:eastAsia="Calibri" w:hAnsi="Arial" w:cs="Arial"/>
          <w:noProof/>
          <w:sz w:val="20"/>
        </w:rPr>
        <w:t>non-compliance with the Directive on the interoperability of the rail system;</w:t>
      </w:r>
      <w:r>
        <w:rPr>
          <w:rFonts w:ascii="Arial" w:eastAsia="Calibri" w:hAnsi="Arial" w:cs="Arial"/>
          <w:noProof/>
          <w:sz w:val="20"/>
          <w:vertAlign w:val="superscript"/>
        </w:rPr>
        <w:t xml:space="preserve"> </w:t>
      </w:r>
      <w:r>
        <w:rPr>
          <w:rStyle w:val="FootnoteReference"/>
          <w:rFonts w:eastAsia="Calibri"/>
          <w:noProof/>
        </w:rPr>
        <w:footnoteReference w:id="135"/>
      </w:r>
    </w:p>
    <w:p w:rsidR="00E26342" w:rsidRDefault="00040788">
      <w:pPr>
        <w:numPr>
          <w:ilvl w:val="0"/>
          <w:numId w:val="2"/>
        </w:numPr>
        <w:spacing w:after="200"/>
        <w:ind w:left="1276" w:hanging="425"/>
        <w:contextualSpacing/>
        <w:rPr>
          <w:rFonts w:ascii="Arial" w:hAnsi="Arial" w:cs="Arial"/>
          <w:noProof/>
          <w:sz w:val="20"/>
        </w:rPr>
      </w:pPr>
      <w:r>
        <w:rPr>
          <w:rStyle w:val="Strong"/>
          <w:rFonts w:ascii="Arial" w:hAnsi="Arial" w:cs="Arial"/>
          <w:b w:val="0"/>
          <w:bCs w:val="0"/>
          <w:noProof/>
          <w:sz w:val="20"/>
        </w:rPr>
        <w:t>non-compliance of national legislation on gambling with EU rules</w:t>
      </w:r>
      <w:r>
        <w:rPr>
          <w:rStyle w:val="FootnoteReference"/>
          <w:rFonts w:ascii="Arial" w:hAnsi="Arial" w:cs="Arial"/>
          <w:noProof/>
          <w:sz w:val="20"/>
        </w:rPr>
        <w:footnoteReference w:id="136"/>
      </w:r>
      <w:r>
        <w:rPr>
          <w:rStyle w:val="Strong"/>
          <w:rFonts w:ascii="Arial" w:hAnsi="Arial" w:cs="Arial"/>
          <w:b w:val="0"/>
          <w:bCs w:val="0"/>
          <w:noProof/>
          <w:sz w:val="20"/>
        </w:rPr>
        <w:t>;</w:t>
      </w:r>
    </w:p>
    <w:p w:rsidR="00E26342" w:rsidRDefault="00040788">
      <w:pPr>
        <w:numPr>
          <w:ilvl w:val="0"/>
          <w:numId w:val="2"/>
        </w:numPr>
        <w:spacing w:after="200"/>
        <w:ind w:left="1276" w:hanging="425"/>
        <w:contextualSpacing/>
        <w:rPr>
          <w:rFonts w:ascii="Arial" w:hAnsi="Arial" w:cs="Arial"/>
          <w:noProof/>
          <w:sz w:val="20"/>
        </w:rPr>
      </w:pPr>
      <w:r>
        <w:rPr>
          <w:rFonts w:ascii="Arial" w:hAnsi="Arial" w:cs="Arial"/>
          <w:noProof/>
          <w:sz w:val="20"/>
        </w:rPr>
        <w:t>non-communication of national measures transposing the:</w:t>
      </w:r>
    </w:p>
    <w:p w:rsidR="00E26342" w:rsidRDefault="00040788">
      <w:pPr>
        <w:numPr>
          <w:ilvl w:val="1"/>
          <w:numId w:val="2"/>
        </w:numPr>
        <w:spacing w:after="200"/>
        <w:contextualSpacing/>
        <w:rPr>
          <w:rFonts w:ascii="Arial" w:hAnsi="Arial" w:cs="Arial"/>
          <w:noProof/>
          <w:sz w:val="20"/>
        </w:rPr>
      </w:pPr>
      <w:r>
        <w:rPr>
          <w:rFonts w:ascii="Arial" w:hAnsi="Arial" w:cs="Arial"/>
          <w:noProof/>
          <w:sz w:val="20"/>
        </w:rPr>
        <w:t>Seveso III Directive</w:t>
      </w:r>
      <w:r>
        <w:rPr>
          <w:rStyle w:val="FootnoteReference"/>
          <w:rFonts w:ascii="Arial" w:hAnsi="Arial" w:cs="Arial"/>
          <w:noProof/>
          <w:sz w:val="20"/>
        </w:rPr>
        <w:footnoteReference w:id="137"/>
      </w:r>
      <w:r>
        <w:rPr>
          <w:rFonts w:ascii="Arial" w:hAnsi="Arial" w:cs="Arial"/>
          <w:noProof/>
          <w:sz w:val="20"/>
        </w:rPr>
        <w:t>;</w:t>
      </w:r>
    </w:p>
    <w:p w:rsidR="00E26342" w:rsidRDefault="00040788">
      <w:pPr>
        <w:numPr>
          <w:ilvl w:val="1"/>
          <w:numId w:val="2"/>
        </w:numPr>
        <w:spacing w:after="200"/>
        <w:contextualSpacing/>
        <w:rPr>
          <w:rFonts w:ascii="Arial" w:hAnsi="Arial" w:cs="Arial"/>
          <w:noProof/>
          <w:sz w:val="20"/>
        </w:rPr>
      </w:pPr>
      <w:r>
        <w:rPr>
          <w:rFonts w:ascii="Arial" w:hAnsi="Arial" w:cs="Arial"/>
          <w:noProof/>
          <w:sz w:val="20"/>
        </w:rPr>
        <w:t>Transparency Directive, Deposit Guarantee Schemes Directive, Banking Recovery and Resolution Directive and Accounting Directive</w:t>
      </w:r>
      <w:r>
        <w:rPr>
          <w:rStyle w:val="FootnoteReference"/>
          <w:noProof/>
        </w:rPr>
        <w:footnoteReference w:id="138"/>
      </w:r>
      <w:r>
        <w:rPr>
          <w:rFonts w:ascii="Arial" w:hAnsi="Arial" w:cs="Arial"/>
          <w:noProof/>
          <w:sz w:val="20"/>
        </w:rPr>
        <w:t>;</w:t>
      </w:r>
    </w:p>
    <w:p w:rsidR="00E26342" w:rsidRDefault="00040788">
      <w:pPr>
        <w:numPr>
          <w:ilvl w:val="1"/>
          <w:numId w:val="2"/>
        </w:numPr>
        <w:spacing w:after="200"/>
        <w:contextualSpacing/>
        <w:rPr>
          <w:rFonts w:ascii="Arial" w:hAnsi="Arial" w:cs="Arial"/>
          <w:noProof/>
          <w:sz w:val="20"/>
        </w:rPr>
      </w:pPr>
      <w:r>
        <w:rPr>
          <w:rFonts w:ascii="Arial" w:hAnsi="Arial" w:cs="Arial"/>
          <w:noProof/>
          <w:sz w:val="20"/>
        </w:rPr>
        <w:t>Directive on the award of concession contracts;</w:t>
      </w:r>
    </w:p>
    <w:p w:rsidR="00E26342" w:rsidRDefault="00040788">
      <w:pPr>
        <w:numPr>
          <w:ilvl w:val="1"/>
          <w:numId w:val="2"/>
        </w:numPr>
        <w:spacing w:after="200"/>
        <w:contextualSpacing/>
        <w:rPr>
          <w:rFonts w:ascii="Arial" w:hAnsi="Arial" w:cs="Arial"/>
          <w:noProof/>
          <w:sz w:val="20"/>
        </w:rPr>
      </w:pPr>
      <w:r>
        <w:rPr>
          <w:rFonts w:ascii="Arial" w:hAnsi="Arial" w:cs="Arial"/>
          <w:noProof/>
          <w:sz w:val="20"/>
        </w:rPr>
        <w:t>Directive establishing a single European railway area</w:t>
      </w:r>
      <w:r>
        <w:rPr>
          <w:rStyle w:val="FootnoteReference"/>
          <w:rFonts w:ascii="Arial" w:hAnsi="Arial" w:cs="Arial"/>
          <w:noProof/>
          <w:sz w:val="20"/>
        </w:rPr>
        <w:footnoteReference w:id="139"/>
      </w:r>
      <w:r>
        <w:rPr>
          <w:rFonts w:ascii="Arial" w:hAnsi="Arial" w:cs="Arial"/>
          <w:noProof/>
          <w:sz w:val="20"/>
        </w:rPr>
        <w:t>;</w:t>
      </w:r>
    </w:p>
    <w:p w:rsidR="00E26342" w:rsidRDefault="00040788">
      <w:pPr>
        <w:numPr>
          <w:ilvl w:val="1"/>
          <w:numId w:val="2"/>
        </w:numPr>
        <w:spacing w:after="200"/>
        <w:contextualSpacing/>
        <w:rPr>
          <w:rFonts w:ascii="Arial" w:hAnsi="Arial" w:cs="Arial"/>
          <w:noProof/>
          <w:sz w:val="20"/>
        </w:rPr>
      </w:pPr>
      <w:r>
        <w:rPr>
          <w:rFonts w:ascii="Arial" w:hAnsi="Arial" w:cs="Arial"/>
          <w:noProof/>
          <w:sz w:val="20"/>
        </w:rPr>
        <w:t>D</w:t>
      </w:r>
      <w:r>
        <w:rPr>
          <w:rStyle w:val="Strong"/>
          <w:rFonts w:ascii="Arial" w:hAnsi="Arial" w:cs="Arial"/>
          <w:b w:val="0"/>
          <w:noProof/>
          <w:sz w:val="20"/>
        </w:rPr>
        <w:t>irective on placing on the market of explosives for civil uses</w:t>
      </w:r>
      <w:r>
        <w:rPr>
          <w:rStyle w:val="FootnoteReference"/>
          <w:rFonts w:ascii="Arial" w:hAnsi="Arial" w:cs="Arial"/>
          <w:bCs/>
          <w:noProof/>
          <w:sz w:val="20"/>
        </w:rPr>
        <w:footnoteReference w:id="140"/>
      </w:r>
      <w:r>
        <w:rPr>
          <w:rStyle w:val="Strong"/>
          <w:rFonts w:ascii="Arial" w:hAnsi="Arial" w:cs="Arial"/>
          <w:b w:val="0"/>
          <w:noProof/>
          <w:sz w:val="20"/>
        </w:rPr>
        <w:t>.</w:t>
      </w:r>
    </w:p>
    <w:p w:rsidR="00E26342" w:rsidRDefault="00040788">
      <w:pPr>
        <w:pStyle w:val="AnnualReport1"/>
        <w:numPr>
          <w:ilvl w:val="0"/>
          <w:numId w:val="207"/>
        </w:numPr>
        <w:spacing w:after="240"/>
        <w:ind w:left="709" w:hanging="425"/>
        <w:rPr>
          <w:noProof/>
        </w:rPr>
      </w:pPr>
      <w:r>
        <w:rPr>
          <w:noProof/>
        </w:rPr>
        <w:t>IMPORTANT JUDGMENTS</w:t>
      </w:r>
    </w:p>
    <w:p w:rsidR="00E26342" w:rsidRDefault="00040788">
      <w:pPr>
        <w:pStyle w:val="AnnualReport2"/>
        <w:numPr>
          <w:ilvl w:val="0"/>
          <w:numId w:val="84"/>
        </w:numPr>
        <w:ind w:left="709" w:hanging="425"/>
        <w:rPr>
          <w:noProof/>
        </w:rPr>
      </w:pPr>
      <w:r>
        <w:rPr>
          <w:noProof/>
        </w:rPr>
        <w:t>Court rulings</w:t>
      </w:r>
      <w:r>
        <w:rPr>
          <w:rStyle w:val="FootnoteReference"/>
          <w:noProof/>
        </w:rPr>
        <w:footnoteReference w:id="141"/>
      </w:r>
    </w:p>
    <w:p w:rsidR="00E26342" w:rsidRDefault="00040788">
      <w:pPr>
        <w:pStyle w:val="Body"/>
        <w:numPr>
          <w:ilvl w:val="0"/>
          <w:numId w:val="126"/>
        </w:numPr>
        <w:ind w:left="1276" w:hanging="425"/>
        <w:rPr>
          <w:noProof/>
          <w:lang w:val="en-GB"/>
        </w:rPr>
      </w:pPr>
      <w:r>
        <w:rPr>
          <w:noProof/>
          <w:lang w:val="en-GB"/>
        </w:rPr>
        <w:t>The Court upheld the Commission’s request for interim measures to stop logging operations in the B</w:t>
      </w:r>
      <w:r>
        <w:rPr>
          <w:noProof/>
          <w:lang w:val="en-GB"/>
        </w:rPr>
        <w:t>iałowieża Forest. The Court ordered Poland to cease operations immediately, except where strictly necessary to ensure public safety. Poland could face financial penalties of at least EUR 100 000 per day if it did not respect the Court order</w:t>
      </w:r>
      <w:r>
        <w:rPr>
          <w:rStyle w:val="FootnoteReference"/>
          <w:noProof/>
          <w:lang w:val="en-GB"/>
        </w:rPr>
        <w:footnoteReference w:id="142"/>
      </w:r>
      <w:r>
        <w:rPr>
          <w:noProof/>
          <w:lang w:val="en-GB"/>
        </w:rPr>
        <w:t>.</w:t>
      </w:r>
      <w:r>
        <w:rPr>
          <w:noProof/>
          <w:lang w:val="en-GB"/>
        </w:rPr>
        <w:br w:type="page"/>
      </w:r>
    </w:p>
    <w:p w:rsidR="00E26342" w:rsidRDefault="00040788">
      <w:pPr>
        <w:pStyle w:val="AnnualReport2"/>
        <w:numPr>
          <w:ilvl w:val="0"/>
          <w:numId w:val="63"/>
        </w:numPr>
        <w:ind w:left="709" w:hanging="425"/>
        <w:rPr>
          <w:noProof/>
        </w:rPr>
      </w:pPr>
      <w:r>
        <w:rPr>
          <w:noProof/>
        </w:rPr>
        <w:t xml:space="preserve">Preliminary </w:t>
      </w:r>
      <w:r>
        <w:rPr>
          <w:noProof/>
        </w:rPr>
        <w:t>rulings</w:t>
      </w:r>
    </w:p>
    <w:p w:rsidR="00E26342" w:rsidRDefault="00040788">
      <w:pPr>
        <w:pStyle w:val="Body"/>
        <w:ind w:left="426" w:firstLine="294"/>
        <w:rPr>
          <w:noProof/>
          <w:lang w:val="en-GB"/>
        </w:rPr>
      </w:pPr>
      <w:r>
        <w:rPr>
          <w:noProof/>
          <w:lang w:val="en-GB"/>
        </w:rPr>
        <w:t xml:space="preserve">The Court addressed the following preliminary rulings to the Polish judiciary. </w:t>
      </w:r>
    </w:p>
    <w:p w:rsidR="00E26342" w:rsidRDefault="00040788">
      <w:pPr>
        <w:pStyle w:val="Lijstje2"/>
        <w:ind w:left="1276" w:hanging="425"/>
        <w:rPr>
          <w:rFonts w:ascii="Arial" w:hAnsi="Arial" w:cs="Arial"/>
          <w:noProof/>
          <w:lang w:val="en-GB"/>
        </w:rPr>
      </w:pPr>
      <w:r>
        <w:rPr>
          <w:rFonts w:ascii="Arial" w:hAnsi="Arial" w:cs="Arial"/>
          <w:noProof/>
          <w:lang w:val="en-GB"/>
        </w:rPr>
        <w:t>‘Hydropower’ has to be understood as including energy generated by the downward flow of industrial waste water</w:t>
      </w:r>
      <w:r>
        <w:rPr>
          <w:rStyle w:val="FootnoteReference"/>
          <w:noProof/>
          <w:lang w:val="en-GB"/>
        </w:rPr>
        <w:footnoteReference w:id="143"/>
      </w:r>
      <w:r>
        <w:rPr>
          <w:rFonts w:ascii="Arial" w:hAnsi="Arial" w:cs="Arial"/>
          <w:noProof/>
          <w:lang w:val="en-GB"/>
        </w:rPr>
        <w:t>.</w:t>
      </w:r>
    </w:p>
    <w:p w:rsidR="00E26342" w:rsidRDefault="00040788">
      <w:pPr>
        <w:pStyle w:val="Lijstje2"/>
        <w:ind w:left="1276" w:hanging="425"/>
        <w:rPr>
          <w:rFonts w:ascii="Arial" w:hAnsi="Arial" w:cs="Arial"/>
          <w:i/>
          <w:noProof/>
          <w:lang w:val="en-GB"/>
        </w:rPr>
      </w:pPr>
      <w:r>
        <w:rPr>
          <w:rFonts w:ascii="Arial" w:hAnsi="Arial" w:cs="Arial"/>
          <w:noProof/>
          <w:lang w:val="en-GB"/>
        </w:rPr>
        <w:t xml:space="preserve">The case concerns a situation where a national </w:t>
      </w:r>
      <w:r>
        <w:rPr>
          <w:rFonts w:ascii="Arial" w:hAnsi="Arial" w:cs="Arial"/>
          <w:noProof/>
          <w:lang w:val="en-GB"/>
        </w:rPr>
        <w:t>regulatory authority imposes an obligation regarding cost orientation of prices on an operator designated as having significant market power on a specific market. The Court held that in such a case the national regulatory authority may, to promote efficien</w:t>
      </w:r>
      <w:r>
        <w:rPr>
          <w:rFonts w:ascii="Arial" w:hAnsi="Arial" w:cs="Arial"/>
          <w:noProof/>
          <w:lang w:val="en-GB"/>
        </w:rPr>
        <w:t>cy and sustainable competition, set the prices of the services covered by such an obligation below the level of the costs incurred by that operator to provide them, if those costs are higher than the costs of an efficient operator</w:t>
      </w:r>
      <w:r>
        <w:rPr>
          <w:rStyle w:val="FootnoteReference"/>
          <w:noProof/>
          <w:lang w:val="en-GB"/>
        </w:rPr>
        <w:footnoteReference w:id="144"/>
      </w:r>
      <w:r>
        <w:rPr>
          <w:rFonts w:ascii="Arial" w:hAnsi="Arial" w:cs="Arial"/>
          <w:i/>
          <w:noProof/>
          <w:lang w:val="en-GB"/>
        </w:rPr>
        <w:t>.</w:t>
      </w:r>
    </w:p>
    <w:p w:rsidR="00E26342" w:rsidRDefault="00040788">
      <w:pPr>
        <w:pStyle w:val="Lijstje2"/>
        <w:ind w:left="1276" w:hanging="425"/>
        <w:rPr>
          <w:rFonts w:ascii="Arial" w:eastAsia="Times New Roman" w:hAnsi="Arial" w:cs="Arial"/>
          <w:noProof/>
          <w:kern w:val="0"/>
          <w:lang w:val="en-GB"/>
        </w:rPr>
      </w:pPr>
      <w:r>
        <w:rPr>
          <w:rFonts w:ascii="Arial" w:hAnsi="Arial" w:cs="Arial"/>
          <w:bCs/>
          <w:noProof/>
          <w:lang w:val="en-GB"/>
        </w:rPr>
        <w:t>Member States may not i</w:t>
      </w:r>
      <w:r>
        <w:rPr>
          <w:rFonts w:ascii="Arial" w:hAnsi="Arial" w:cs="Arial"/>
          <w:bCs/>
          <w:noProof/>
          <w:lang w:val="en-GB"/>
        </w:rPr>
        <w:t>mpose mandatory liquidation on companies that wish to transfer their registered office to another Member State.</w:t>
      </w:r>
      <w:r>
        <w:rPr>
          <w:rFonts w:ascii="Arial" w:hAnsi="Arial" w:cs="Arial"/>
          <w:iCs/>
          <w:noProof/>
          <w:lang w:val="en-GB"/>
        </w:rPr>
        <w:t xml:space="preserve"> The transfer of the registered office of such a company, when there is no change in the location of its real head office, falls within the scope</w:t>
      </w:r>
      <w:r>
        <w:rPr>
          <w:rFonts w:ascii="Arial" w:hAnsi="Arial" w:cs="Arial"/>
          <w:iCs/>
          <w:noProof/>
          <w:lang w:val="en-GB"/>
        </w:rPr>
        <w:t xml:space="preserve"> of the freedom of establishment protected by EU law</w:t>
      </w:r>
      <w:r>
        <w:rPr>
          <w:rStyle w:val="FootnoteReference"/>
          <w:rFonts w:ascii="Arial" w:hAnsi="Arial" w:cs="Arial"/>
          <w:iCs/>
          <w:noProof/>
          <w:lang w:val="en-GB"/>
        </w:rPr>
        <w:footnoteReference w:id="145"/>
      </w:r>
      <w:r>
        <w:rPr>
          <w:rFonts w:ascii="Arial" w:hAnsi="Arial" w:cs="Arial"/>
          <w:iCs/>
          <w:noProof/>
          <w:lang w:val="en-GB"/>
        </w:rPr>
        <w:t>.</w:t>
      </w:r>
      <w:r>
        <w:rPr>
          <w:rFonts w:ascii="Arial" w:hAnsi="Arial" w:cs="Arial"/>
          <w:bCs/>
          <w:noProof/>
          <w:lang w:val="en-GB"/>
        </w:rPr>
        <w:t xml:space="preserve"> </w:t>
      </w:r>
    </w:p>
    <w:p w:rsidR="00E26342" w:rsidRDefault="00040788">
      <w:pPr>
        <w:pStyle w:val="Lijstje2"/>
        <w:ind w:left="1276" w:hanging="425"/>
        <w:rPr>
          <w:rFonts w:ascii="Arial" w:hAnsi="Arial" w:cs="Arial"/>
          <w:noProof/>
          <w:lang w:val="en-GB"/>
        </w:rPr>
      </w:pPr>
      <w:r>
        <w:rPr>
          <w:rFonts w:ascii="Arial" w:hAnsi="Arial" w:cs="Arial"/>
          <w:noProof/>
          <w:lang w:val="en-GB"/>
        </w:rPr>
        <w:t>The Regulation establishing a Community Code on Visas</w:t>
      </w:r>
      <w:r>
        <w:rPr>
          <w:rStyle w:val="FootnoteReference"/>
          <w:rFonts w:ascii="Arial" w:hAnsi="Arial" w:cs="Arial"/>
          <w:noProof/>
          <w:lang w:val="en-GB"/>
        </w:rPr>
        <w:footnoteReference w:id="146"/>
      </w:r>
      <w:r>
        <w:rPr>
          <w:rFonts w:ascii="Arial" w:hAnsi="Arial" w:cs="Arial"/>
          <w:noProof/>
          <w:lang w:val="en-GB"/>
        </w:rPr>
        <w:t xml:space="preserve"> requires Member States to provide for an appeal procedure against decisions refusing visas. The procedural rules are a matter for the legal order</w:t>
      </w:r>
      <w:r>
        <w:rPr>
          <w:rFonts w:ascii="Arial" w:hAnsi="Arial" w:cs="Arial"/>
          <w:noProof/>
          <w:lang w:val="en-GB"/>
        </w:rPr>
        <w:t xml:space="preserve"> of each Member State in accordance with the principles of equivalence and effectiveness. The proceedings must guarantee a judicial appeal</w:t>
      </w:r>
      <w:r>
        <w:rPr>
          <w:rStyle w:val="FootnoteReference"/>
          <w:rFonts w:ascii="Arial" w:hAnsi="Arial" w:cs="Arial"/>
          <w:noProof/>
          <w:lang w:val="en-GB"/>
        </w:rPr>
        <w:footnoteReference w:id="147"/>
      </w:r>
      <w:r>
        <w:rPr>
          <w:rFonts w:ascii="Arial" w:hAnsi="Arial" w:cs="Arial"/>
          <w:noProof/>
          <w:lang w:val="en-GB"/>
        </w:rPr>
        <w:t>.</w:t>
      </w:r>
    </w:p>
    <w:p w:rsidR="00E26342" w:rsidRDefault="00040788">
      <w:pPr>
        <w:pStyle w:val="Lijstje2"/>
        <w:ind w:left="1276" w:hanging="425"/>
        <w:rPr>
          <w:rFonts w:ascii="Arial" w:hAnsi="Arial" w:cs="Arial"/>
          <w:noProof/>
          <w:lang w:val="en-GB"/>
        </w:rPr>
      </w:pPr>
      <w:r>
        <w:rPr>
          <w:rFonts w:ascii="Arial" w:hAnsi="Arial" w:cs="Arial"/>
          <w:noProof/>
          <w:lang w:val="en-GB"/>
        </w:rPr>
        <w:t>Under the Collective Redundancies Directive</w:t>
      </w:r>
      <w:r>
        <w:rPr>
          <w:rStyle w:val="FootnoteReference"/>
          <w:rFonts w:ascii="Arial" w:hAnsi="Arial" w:cs="Arial"/>
          <w:noProof/>
          <w:lang w:val="en-GB"/>
        </w:rPr>
        <w:footnoteReference w:id="148"/>
      </w:r>
      <w:r>
        <w:rPr>
          <w:rFonts w:ascii="Arial" w:hAnsi="Arial" w:cs="Arial"/>
          <w:noProof/>
          <w:lang w:val="en-GB"/>
        </w:rPr>
        <w:t xml:space="preserve">, an employer is required to consult workers’ representatives when he </w:t>
      </w:r>
      <w:r>
        <w:rPr>
          <w:rFonts w:ascii="Arial" w:hAnsi="Arial" w:cs="Arial"/>
          <w:noProof/>
          <w:lang w:val="en-GB"/>
        </w:rPr>
        <w:t>intends, to the detriment of employees, to amend unilaterally the terms of remuneration, which, if refused by employees, will entail termination of their employment relationship</w:t>
      </w:r>
      <w:r>
        <w:rPr>
          <w:rStyle w:val="FootnoteReference"/>
          <w:rFonts w:ascii="Arial" w:hAnsi="Arial" w:cs="Arial"/>
          <w:noProof/>
          <w:lang w:val="en-GB"/>
        </w:rPr>
        <w:footnoteReference w:id="149"/>
      </w:r>
      <w:r>
        <w:rPr>
          <w:rFonts w:ascii="Arial" w:hAnsi="Arial" w:cs="Arial"/>
          <w:noProof/>
          <w:lang w:val="en-GB"/>
        </w:rPr>
        <w:t>.</w:t>
      </w:r>
    </w:p>
    <w:p w:rsidR="00E26342" w:rsidRDefault="00040788">
      <w:pPr>
        <w:pStyle w:val="Lijstje2"/>
        <w:ind w:left="1276" w:hanging="425"/>
        <w:rPr>
          <w:rFonts w:ascii="Arial" w:hAnsi="Arial" w:cs="Arial"/>
          <w:i/>
          <w:noProof/>
          <w:lang w:val="en-GB"/>
        </w:rPr>
      </w:pPr>
      <w:r>
        <w:rPr>
          <w:rFonts w:ascii="Arial" w:hAnsi="Arial" w:cs="Arial"/>
          <w:noProof/>
          <w:lang w:val="en-GB"/>
        </w:rPr>
        <w:t>On the basis of the Visa Code</w:t>
      </w:r>
      <w:r>
        <w:rPr>
          <w:rStyle w:val="FootnoteReference"/>
          <w:rFonts w:ascii="Arial" w:hAnsi="Arial" w:cs="Arial"/>
          <w:noProof/>
        </w:rPr>
        <w:footnoteReference w:id="150"/>
      </w:r>
      <w:r>
        <w:rPr>
          <w:rFonts w:ascii="Arial" w:hAnsi="Arial" w:cs="Arial"/>
          <w:noProof/>
          <w:lang w:val="en-GB"/>
        </w:rPr>
        <w:t xml:space="preserve"> and the Charter of Fundamental Rights, visa a</w:t>
      </w:r>
      <w:r>
        <w:rPr>
          <w:rFonts w:ascii="Arial" w:hAnsi="Arial" w:cs="Arial"/>
          <w:noProof/>
          <w:lang w:val="en-GB"/>
        </w:rPr>
        <w:t>pplicants have the right to a non-arbitrary treatment of their visa application and that this right is to be protected by a judicial appeal procedure</w:t>
      </w:r>
      <w:r>
        <w:rPr>
          <w:rStyle w:val="FootnoteReference"/>
          <w:rFonts w:ascii="Arial" w:hAnsi="Arial" w:cs="Arial"/>
          <w:noProof/>
        </w:rPr>
        <w:footnoteReference w:id="151"/>
      </w:r>
      <w:r>
        <w:rPr>
          <w:rFonts w:ascii="Arial" w:hAnsi="Arial" w:cs="Arial"/>
          <w:noProof/>
          <w:lang w:val="en-GB"/>
        </w:rPr>
        <w:t>.</w:t>
      </w:r>
    </w:p>
    <w:p w:rsidR="00E26342" w:rsidRDefault="00E26342">
      <w:pPr>
        <w:pStyle w:val="Lijstje2"/>
        <w:numPr>
          <w:ilvl w:val="0"/>
          <w:numId w:val="0"/>
        </w:numPr>
        <w:ind w:left="1418"/>
        <w:rPr>
          <w:rFonts w:ascii="Arial" w:hAnsi="Arial" w:cs="Arial"/>
          <w:noProof/>
          <w:lang w:val="en-GB"/>
        </w:rPr>
      </w:pPr>
    </w:p>
    <w:p w:rsidR="00E26342" w:rsidRDefault="00E26342">
      <w:pPr>
        <w:pStyle w:val="Lijstje2"/>
        <w:ind w:left="1418"/>
        <w:rPr>
          <w:rFonts w:ascii="Arial" w:hAnsi="Arial" w:cs="Arial"/>
          <w:noProof/>
          <w:lang w:val="en-GB"/>
        </w:rPr>
        <w:sectPr w:rsidR="00E26342">
          <w:headerReference w:type="even" r:id="rId115"/>
          <w:headerReference w:type="default" r:id="rId116"/>
          <w:footerReference w:type="even" r:id="rId117"/>
          <w:footerReference w:type="default" r:id="rId118"/>
          <w:headerReference w:type="first" r:id="rId119"/>
          <w:footerReference w:type="first" r:id="rId120"/>
          <w:footnotePr>
            <w:numRestart w:val="eachSect"/>
          </w:footnotePr>
          <w:pgSz w:w="11906" w:h="16838"/>
          <w:pgMar w:top="1843" w:right="1417" w:bottom="1134" w:left="1417" w:header="567" w:footer="351" w:gutter="0"/>
          <w:cols w:space="708"/>
          <w:titlePg/>
          <w:docGrid w:linePitch="360"/>
        </w:sectPr>
      </w:pPr>
    </w:p>
    <w:p w:rsidR="00E26342" w:rsidRDefault="00040788">
      <w:pPr>
        <w:pStyle w:val="Heading1"/>
        <w:rPr>
          <w:noProof/>
        </w:rPr>
      </w:pPr>
      <w:bookmarkStart w:id="33" w:name="_Toc475974659"/>
      <w:bookmarkStart w:id="34" w:name="_Toc475980155"/>
      <w:bookmarkStart w:id="35" w:name="_Toc475981404"/>
      <w:bookmarkStart w:id="36" w:name="_Toc484622338"/>
      <w:bookmarkStart w:id="37" w:name="_Toc510015287"/>
      <w:r>
        <w:rPr>
          <w:noProof/>
        </w:rPr>
        <w:t>Portugal</w:t>
      </w:r>
      <w:bookmarkEnd w:id="33"/>
      <w:bookmarkEnd w:id="34"/>
      <w:bookmarkEnd w:id="35"/>
      <w:bookmarkEnd w:id="36"/>
      <w:bookmarkEnd w:id="37"/>
    </w:p>
    <w:p w:rsidR="00E26342" w:rsidRDefault="00040788">
      <w:pPr>
        <w:pStyle w:val="AnnualReport1"/>
        <w:numPr>
          <w:ilvl w:val="0"/>
          <w:numId w:val="208"/>
        </w:numPr>
        <w:spacing w:after="240"/>
        <w:ind w:left="709" w:hanging="425"/>
        <w:rPr>
          <w:noProof/>
        </w:rPr>
      </w:pPr>
      <w:r>
        <w:rPr>
          <w:noProof/>
        </w:rPr>
        <w:t>COMPLAINTS</w:t>
      </w:r>
    </w:p>
    <w:p w:rsidR="00E26342" w:rsidRDefault="00040788">
      <w:pPr>
        <w:pStyle w:val="Subtitle"/>
        <w:rPr>
          <w:noProof/>
        </w:rPr>
      </w:pPr>
      <w:r>
        <w:rPr>
          <w:noProof/>
        </w:rPr>
        <w:t>New complaints made against Portugal by members of the public (2013-2017)</w:t>
      </w:r>
    </w:p>
    <w:p w:rsidR="00E26342" w:rsidRDefault="00040788">
      <w:pPr>
        <w:spacing w:before="360"/>
        <w:ind w:firstLine="709"/>
        <w:rPr>
          <w:rFonts w:ascii="Arial" w:hAnsi="Arial" w:cs="Arial"/>
          <w:noProof/>
          <w:sz w:val="20"/>
        </w:rPr>
      </w:pPr>
      <w:r>
        <w:rPr>
          <w:rFonts w:ascii="Arial" w:hAnsi="Arial" w:cs="Arial"/>
          <w:noProof/>
          <w:sz w:val="20"/>
          <w:lang w:eastAsia="en-GB"/>
        </w:rPr>
        <w:drawing>
          <wp:inline distT="0" distB="0" distL="0" distR="0" wp14:anchorId="25AD4FE3" wp14:editId="04DE755C">
            <wp:extent cx="4587875" cy="2337435"/>
            <wp:effectExtent l="0" t="0" r="22225" b="24765"/>
            <wp:docPr id="233"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E26342" w:rsidRDefault="00040788">
      <w:pPr>
        <w:pStyle w:val="Subtitle"/>
        <w:rPr>
          <w:noProof/>
        </w:rPr>
      </w:pPr>
      <w:r>
        <w:rPr>
          <w:noProof/>
        </w:rPr>
        <w:t>Public complaints against Portugal open at year-end</w:t>
      </w:r>
    </w:p>
    <w:tbl>
      <w:tblPr>
        <w:tblW w:w="0" w:type="auto"/>
        <w:jc w:val="center"/>
        <w:tblLook w:val="04A0" w:firstRow="1" w:lastRow="0" w:firstColumn="1" w:lastColumn="0" w:noHBand="0" w:noVBand="1"/>
      </w:tblPr>
      <w:tblGrid>
        <w:gridCol w:w="1697"/>
        <w:gridCol w:w="452"/>
        <w:gridCol w:w="5310"/>
      </w:tblGrid>
      <w:tr w:rsidR="00E26342">
        <w:trPr>
          <w:trHeight w:val="403"/>
          <w:jc w:val="center"/>
        </w:trPr>
        <w:tc>
          <w:tcPr>
            <w:tcW w:w="1697" w:type="dxa"/>
            <w:shd w:val="clear" w:color="auto" w:fill="auto"/>
            <w:vAlign w:val="center"/>
          </w:tcPr>
          <w:p w:rsidR="00E26342" w:rsidRDefault="00040788">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56</w:t>
            </w:r>
          </w:p>
        </w:tc>
        <w:tc>
          <w:tcPr>
            <w:tcW w:w="452" w:type="dxa"/>
            <w:shd w:val="clear" w:color="auto" w:fill="auto"/>
            <w:vAlign w:val="center"/>
          </w:tcPr>
          <w:p w:rsidR="00E26342" w:rsidRDefault="00040788">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E26342" w:rsidRDefault="00040788">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Complaints open at end-2016</w:t>
            </w:r>
          </w:p>
        </w:tc>
      </w:tr>
      <w:tr w:rsidR="00E26342">
        <w:trPr>
          <w:trHeight w:val="403"/>
          <w:jc w:val="center"/>
        </w:trPr>
        <w:tc>
          <w:tcPr>
            <w:tcW w:w="1697" w:type="dxa"/>
            <w:shd w:val="clear" w:color="auto" w:fill="auto"/>
            <w:vAlign w:val="center"/>
          </w:tcPr>
          <w:p w:rsidR="00E26342" w:rsidRDefault="00040788">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111</w:t>
            </w:r>
          </w:p>
        </w:tc>
        <w:tc>
          <w:tcPr>
            <w:tcW w:w="452" w:type="dxa"/>
            <w:shd w:val="clear" w:color="auto" w:fill="auto"/>
            <w:vAlign w:val="center"/>
          </w:tcPr>
          <w:p w:rsidR="00E26342" w:rsidRDefault="00040788">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E26342" w:rsidRDefault="00040788">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New complaints registered in 2017</w:t>
            </w:r>
          </w:p>
        </w:tc>
      </w:tr>
      <w:tr w:rsidR="00E26342">
        <w:trPr>
          <w:trHeight w:val="403"/>
          <w:jc w:val="center"/>
        </w:trPr>
        <w:tc>
          <w:tcPr>
            <w:tcW w:w="1697" w:type="dxa"/>
            <w:tcBorders>
              <w:bottom w:val="single" w:sz="24" w:space="0" w:color="548DD4"/>
            </w:tcBorders>
            <w:shd w:val="clear" w:color="auto" w:fill="auto"/>
            <w:vAlign w:val="center"/>
          </w:tcPr>
          <w:p w:rsidR="00E26342" w:rsidRDefault="00040788">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81</w:t>
            </w:r>
          </w:p>
        </w:tc>
        <w:tc>
          <w:tcPr>
            <w:tcW w:w="452" w:type="dxa"/>
            <w:shd w:val="clear" w:color="auto" w:fill="auto"/>
            <w:vAlign w:val="center"/>
          </w:tcPr>
          <w:p w:rsidR="00E26342" w:rsidRDefault="00040788">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E26342" w:rsidRDefault="00040788">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Complaints handled in 2017</w:t>
            </w:r>
          </w:p>
        </w:tc>
      </w:tr>
      <w:tr w:rsidR="00E26342">
        <w:trPr>
          <w:trHeight w:val="403"/>
          <w:jc w:val="center"/>
        </w:trPr>
        <w:tc>
          <w:tcPr>
            <w:tcW w:w="1697" w:type="dxa"/>
            <w:tcBorders>
              <w:top w:val="single" w:sz="24" w:space="0" w:color="548DD4"/>
            </w:tcBorders>
            <w:shd w:val="clear" w:color="auto" w:fill="auto"/>
            <w:vAlign w:val="center"/>
          </w:tcPr>
          <w:p w:rsidR="00E26342" w:rsidRDefault="00040788">
            <w:pPr>
              <w:spacing w:after="0"/>
              <w:jc w:val="right"/>
              <w:rPr>
                <w:rFonts w:ascii="Arial" w:hAnsi="Arial" w:cs="Arial"/>
                <w:noProof/>
                <w:color w:val="C00000"/>
                <w:sz w:val="22"/>
                <w:szCs w:val="28"/>
                <w:lang w:eastAsia="en-GB"/>
              </w:rPr>
            </w:pPr>
            <w:r>
              <w:rPr>
                <w:rFonts w:ascii="Arial" w:hAnsi="Arial" w:cs="Arial"/>
                <w:noProof/>
                <w:color w:val="C00000"/>
                <w:sz w:val="22"/>
                <w:szCs w:val="28"/>
                <w:lang w:eastAsia="en-GB"/>
              </w:rPr>
              <w:t>= 86</w:t>
            </w:r>
          </w:p>
        </w:tc>
        <w:tc>
          <w:tcPr>
            <w:tcW w:w="452" w:type="dxa"/>
            <w:shd w:val="clear" w:color="auto" w:fill="auto"/>
            <w:vAlign w:val="center"/>
          </w:tcPr>
          <w:p w:rsidR="00E26342" w:rsidRDefault="00040788">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E26342" w:rsidRDefault="00040788">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Complaints open at end-2017</w:t>
            </w:r>
          </w:p>
        </w:tc>
      </w:tr>
    </w:tbl>
    <w:p w:rsidR="00E26342" w:rsidRDefault="00040788">
      <w:pPr>
        <w:pStyle w:val="Subtitle"/>
        <w:rPr>
          <w:noProof/>
        </w:rPr>
      </w:pPr>
      <w:r>
        <w:rPr>
          <w:noProof/>
        </w:rPr>
        <w:t>New complaints registered in 2017: main policy areas</w:t>
      </w:r>
    </w:p>
    <w:p w:rsidR="00E26342" w:rsidRDefault="00040788">
      <w:pPr>
        <w:spacing w:before="360"/>
        <w:ind w:firstLine="709"/>
        <w:rPr>
          <w:rFonts w:ascii="Arial" w:hAnsi="Arial" w:cs="Arial"/>
          <w:noProof/>
          <w:sz w:val="20"/>
        </w:rPr>
      </w:pPr>
      <w:r>
        <w:rPr>
          <w:rFonts w:ascii="Arial" w:hAnsi="Arial" w:cs="Arial"/>
          <w:noProof/>
          <w:sz w:val="20"/>
          <w:lang w:eastAsia="en-GB"/>
        </w:rPr>
        <w:drawing>
          <wp:inline distT="0" distB="0" distL="0" distR="0" wp14:anchorId="6548FF3F" wp14:editId="3C74EFE6">
            <wp:extent cx="4627880" cy="2361565"/>
            <wp:effectExtent l="0" t="0" r="20320" b="19685"/>
            <wp:docPr id="234" name="Grafiek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E26342" w:rsidRDefault="00040788">
      <w:pPr>
        <w:spacing w:after="200" w:line="276" w:lineRule="auto"/>
        <w:jc w:val="left"/>
        <w:rPr>
          <w:rFonts w:ascii="Arial" w:eastAsia="MS Gothic" w:hAnsi="Arial" w:cs="Arial"/>
          <w:caps/>
          <w:noProof/>
          <w:color w:val="4F81BD"/>
          <w:kern w:val="20"/>
          <w:szCs w:val="24"/>
        </w:rPr>
      </w:pPr>
      <w:r>
        <w:rPr>
          <w:rFonts w:ascii="Arial" w:eastAsia="MS Gothic" w:hAnsi="Arial" w:cs="Arial"/>
          <w:caps/>
          <w:noProof/>
          <w:color w:val="4F81BD"/>
          <w:kern w:val="20"/>
          <w:szCs w:val="24"/>
        </w:rPr>
        <w:br w:type="page"/>
      </w:r>
    </w:p>
    <w:p w:rsidR="00E26342" w:rsidRDefault="00040788">
      <w:pPr>
        <w:pStyle w:val="AnnualReport1"/>
        <w:spacing w:after="240"/>
        <w:ind w:left="709" w:hanging="425"/>
        <w:rPr>
          <w:noProof/>
        </w:rPr>
      </w:pPr>
      <w:r>
        <w:rPr>
          <w:noProof/>
        </w:rPr>
        <w:t xml:space="preserve">EU </w:t>
      </w:r>
      <w:r>
        <w:rPr>
          <w:noProof/>
        </w:rPr>
        <w:t>PILOT</w:t>
      </w:r>
    </w:p>
    <w:p w:rsidR="00E26342" w:rsidRDefault="00040788">
      <w:pPr>
        <w:pStyle w:val="AnnualReport2"/>
        <w:numPr>
          <w:ilvl w:val="0"/>
          <w:numId w:val="64"/>
        </w:numPr>
        <w:ind w:left="709" w:hanging="425"/>
        <w:rPr>
          <w:noProof/>
        </w:rPr>
      </w:pPr>
      <w:r>
        <w:rPr>
          <w:noProof/>
        </w:rPr>
        <w:t>New EU Pilot files opened against Portugal (2013-2017)</w:t>
      </w:r>
    </w:p>
    <w:p w:rsidR="00E26342" w:rsidRDefault="00040788">
      <w:pPr>
        <w:tabs>
          <w:tab w:val="left" w:pos="0"/>
        </w:tabs>
        <w:spacing w:before="360"/>
        <w:ind w:firstLine="709"/>
        <w:rPr>
          <w:rFonts w:ascii="Arial" w:hAnsi="Arial" w:cs="Arial"/>
          <w:noProof/>
          <w:sz w:val="20"/>
        </w:rPr>
      </w:pPr>
      <w:r>
        <w:rPr>
          <w:rFonts w:ascii="Arial" w:hAnsi="Arial" w:cs="Arial"/>
          <w:noProof/>
          <w:sz w:val="20"/>
          <w:lang w:eastAsia="en-GB"/>
        </w:rPr>
        <w:drawing>
          <wp:inline distT="0" distB="0" distL="0" distR="0" wp14:anchorId="6D24267D" wp14:editId="1EE584BF">
            <wp:extent cx="4587875" cy="2266315"/>
            <wp:effectExtent l="0" t="0" r="0" b="0"/>
            <wp:docPr id="235"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E26342" w:rsidRDefault="00040788">
      <w:pPr>
        <w:pStyle w:val="AnnualReport2"/>
        <w:numPr>
          <w:ilvl w:val="0"/>
          <w:numId w:val="63"/>
        </w:numPr>
        <w:ind w:left="709" w:hanging="425"/>
        <w:rPr>
          <w:noProof/>
        </w:rPr>
      </w:pPr>
      <w:r>
        <w:rPr>
          <w:noProof/>
        </w:rPr>
        <w:t>Files relating to Portugal open in EU Pilot at year-end</w:t>
      </w:r>
    </w:p>
    <w:p w:rsidR="00E26342" w:rsidRDefault="00040788">
      <w:pPr>
        <w:spacing w:before="360"/>
        <w:ind w:firstLine="709"/>
        <w:rPr>
          <w:rFonts w:ascii="Arial" w:hAnsi="Arial" w:cs="Arial"/>
          <w:noProof/>
          <w:sz w:val="20"/>
        </w:rPr>
      </w:pPr>
      <w:r>
        <w:rPr>
          <w:rFonts w:ascii="Arial" w:hAnsi="Arial" w:cs="Arial"/>
          <w:noProof/>
          <w:sz w:val="20"/>
          <w:lang w:eastAsia="en-GB"/>
        </w:rPr>
        <w:drawing>
          <wp:inline distT="0" distB="0" distL="0" distR="0" wp14:anchorId="6622461C" wp14:editId="4BE89F40">
            <wp:extent cx="4587875" cy="2266315"/>
            <wp:effectExtent l="0" t="0" r="0" b="0"/>
            <wp:docPr id="236"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E26342" w:rsidRDefault="00040788">
      <w:pPr>
        <w:pStyle w:val="AnnualReport2"/>
        <w:numPr>
          <w:ilvl w:val="0"/>
          <w:numId w:val="63"/>
        </w:numPr>
        <w:ind w:left="709" w:hanging="425"/>
        <w:rPr>
          <w:noProof/>
        </w:rPr>
      </w:pPr>
      <w:r>
        <w:rPr>
          <w:noProof/>
        </w:rPr>
        <w:t>New EU Pilot files opened in 2017: policy areas</w:t>
      </w:r>
    </w:p>
    <w:p w:rsidR="00E26342" w:rsidRDefault="00040788">
      <w:pPr>
        <w:spacing w:before="360"/>
        <w:ind w:firstLine="709"/>
        <w:rPr>
          <w:rFonts w:ascii="Arial" w:hAnsi="Arial" w:cs="Arial"/>
          <w:noProof/>
          <w:sz w:val="20"/>
        </w:rPr>
      </w:pPr>
      <w:r>
        <w:rPr>
          <w:rFonts w:ascii="Arial" w:hAnsi="Arial" w:cs="Arial"/>
          <w:noProof/>
          <w:sz w:val="20"/>
          <w:lang w:eastAsia="en-GB"/>
        </w:rPr>
        <w:drawing>
          <wp:inline distT="0" distB="0" distL="0" distR="0" wp14:anchorId="3632367D" wp14:editId="3F6123E4">
            <wp:extent cx="4643755" cy="2401570"/>
            <wp:effectExtent l="0" t="0" r="23495" b="17780"/>
            <wp:docPr id="237" name="Grafiek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E26342" w:rsidRDefault="00040788">
      <w:pPr>
        <w:pStyle w:val="AnnualReport2"/>
        <w:numPr>
          <w:ilvl w:val="0"/>
          <w:numId w:val="63"/>
        </w:numPr>
        <w:ind w:left="709" w:hanging="425"/>
        <w:rPr>
          <w:noProof/>
        </w:rPr>
      </w:pPr>
      <w:r>
        <w:rPr>
          <w:noProof/>
        </w:rPr>
        <w:t>EU Pilot files: Portugal’s resolution rate in 2013-2017</w:t>
      </w:r>
    </w:p>
    <w:p w:rsidR="00E26342" w:rsidRDefault="00040788">
      <w:pPr>
        <w:spacing w:before="360"/>
        <w:ind w:firstLine="709"/>
        <w:rPr>
          <w:rFonts w:ascii="Arial" w:hAnsi="Arial" w:cs="Arial"/>
          <w:noProof/>
          <w:sz w:val="20"/>
        </w:rPr>
      </w:pPr>
      <w:r>
        <w:rPr>
          <w:rFonts w:ascii="Arial" w:hAnsi="Arial" w:cs="Arial"/>
          <w:noProof/>
          <w:sz w:val="20"/>
          <w:lang w:eastAsia="en-GB"/>
        </w:rPr>
        <w:drawing>
          <wp:inline distT="0" distB="0" distL="0" distR="0" wp14:anchorId="0CAAAA70" wp14:editId="0A593E8B">
            <wp:extent cx="4627880" cy="2258060"/>
            <wp:effectExtent l="0" t="0" r="20320" b="27940"/>
            <wp:docPr id="238"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E26342" w:rsidRDefault="00040788">
      <w:pPr>
        <w:pStyle w:val="AnnualReport1"/>
        <w:spacing w:after="240"/>
        <w:ind w:left="709" w:hanging="425"/>
        <w:rPr>
          <w:noProof/>
        </w:rPr>
      </w:pPr>
      <w:r>
        <w:rPr>
          <w:noProof/>
        </w:rPr>
        <w:t>INFRINGEMENT CASES</w:t>
      </w:r>
    </w:p>
    <w:p w:rsidR="00E26342" w:rsidRDefault="00040788">
      <w:pPr>
        <w:pStyle w:val="AnnualReport2"/>
        <w:numPr>
          <w:ilvl w:val="0"/>
          <w:numId w:val="65"/>
        </w:numPr>
        <w:ind w:left="709" w:hanging="425"/>
        <w:rPr>
          <w:noProof/>
        </w:rPr>
      </w:pPr>
      <w:r>
        <w:rPr>
          <w:noProof/>
        </w:rPr>
        <w:t>Infringement cases against Portugal open on 31 December (2013-2017)</w:t>
      </w:r>
    </w:p>
    <w:p w:rsidR="00E26342" w:rsidRDefault="00040788">
      <w:pPr>
        <w:spacing w:before="360"/>
        <w:ind w:firstLine="709"/>
        <w:rPr>
          <w:rFonts w:ascii="Arial" w:hAnsi="Arial" w:cs="Arial"/>
          <w:noProof/>
          <w:sz w:val="20"/>
        </w:rPr>
      </w:pPr>
      <w:r>
        <w:rPr>
          <w:rFonts w:ascii="Arial" w:hAnsi="Arial" w:cs="Arial"/>
          <w:noProof/>
          <w:sz w:val="20"/>
          <w:lang w:eastAsia="en-GB"/>
        </w:rPr>
        <w:drawing>
          <wp:inline distT="0" distB="0" distL="0" distR="0" wp14:anchorId="1CC10249" wp14:editId="33816F4E">
            <wp:extent cx="4610100" cy="2164080"/>
            <wp:effectExtent l="0" t="0" r="19050" b="26670"/>
            <wp:docPr id="239" name="Grafiek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E26342" w:rsidRDefault="00040788">
      <w:pPr>
        <w:pStyle w:val="AnnualReport2"/>
        <w:numPr>
          <w:ilvl w:val="0"/>
          <w:numId w:val="63"/>
        </w:numPr>
        <w:ind w:left="709" w:hanging="425"/>
        <w:rPr>
          <w:noProof/>
        </w:rPr>
      </w:pPr>
      <w:r>
        <w:rPr>
          <w:noProof/>
        </w:rPr>
        <w:t>New infringement cases opened in 2017: main policy areas</w:t>
      </w:r>
    </w:p>
    <w:p w:rsidR="00E26342" w:rsidRDefault="00040788">
      <w:pPr>
        <w:spacing w:before="360"/>
        <w:ind w:firstLine="709"/>
        <w:rPr>
          <w:rFonts w:ascii="Arial" w:hAnsi="Arial" w:cs="Arial"/>
          <w:noProof/>
          <w:sz w:val="20"/>
        </w:rPr>
      </w:pPr>
      <w:r>
        <w:rPr>
          <w:rFonts w:ascii="Arial" w:hAnsi="Arial" w:cs="Arial"/>
          <w:noProof/>
          <w:sz w:val="20"/>
          <w:lang w:eastAsia="en-GB"/>
        </w:rPr>
        <w:drawing>
          <wp:inline distT="0" distB="0" distL="0" distR="0" wp14:anchorId="0797D370" wp14:editId="669729D4">
            <wp:extent cx="4277995" cy="2385695"/>
            <wp:effectExtent l="0" t="0" r="27305" b="14605"/>
            <wp:docPr id="240" name="Object 2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E26342" w:rsidRDefault="00040788">
      <w:pPr>
        <w:pStyle w:val="AnnualReport2"/>
        <w:numPr>
          <w:ilvl w:val="0"/>
          <w:numId w:val="63"/>
        </w:numPr>
        <w:ind w:left="709" w:hanging="425"/>
        <w:rPr>
          <w:noProof/>
        </w:rPr>
      </w:pPr>
      <w:r>
        <w:rPr>
          <w:noProof/>
        </w:rPr>
        <w:t>Key infringement cases and referrals to the Court</w:t>
      </w:r>
    </w:p>
    <w:p w:rsidR="00E26342" w:rsidRDefault="00040788">
      <w:pPr>
        <w:pStyle w:val="Lijstje"/>
        <w:numPr>
          <w:ilvl w:val="0"/>
          <w:numId w:val="39"/>
        </w:numPr>
        <w:ind w:left="1276" w:hanging="425"/>
        <w:rPr>
          <w:noProof/>
        </w:rPr>
      </w:pPr>
      <w:r>
        <w:rPr>
          <w:noProof/>
        </w:rPr>
        <w:t>The Commission opened 46 new infringement cases against Portugal in 2017. The</w:t>
      </w:r>
      <w:r>
        <w:rPr>
          <w:noProof/>
        </w:rPr>
        <w:t>se, and other major ongoing infringement cases, include:</w:t>
      </w:r>
    </w:p>
    <w:p w:rsidR="00E26342" w:rsidRDefault="00040788">
      <w:pPr>
        <w:pStyle w:val="Lijstje2"/>
        <w:spacing w:after="0"/>
        <w:ind w:left="1843" w:hanging="425"/>
        <w:rPr>
          <w:rFonts w:ascii="Arial" w:hAnsi="Arial" w:cs="Arial"/>
          <w:noProof/>
          <w:lang w:val="en-GB"/>
        </w:rPr>
      </w:pPr>
      <w:r>
        <w:rPr>
          <w:rFonts w:ascii="Arial" w:hAnsi="Arial" w:cs="Arial"/>
          <w:noProof/>
          <w:lang w:val="en-GB"/>
        </w:rPr>
        <w:t>non-communication of national measures transposing the:</w:t>
      </w:r>
    </w:p>
    <w:p w:rsidR="00E26342" w:rsidRDefault="00040788">
      <w:pPr>
        <w:numPr>
          <w:ilvl w:val="2"/>
          <w:numId w:val="2"/>
        </w:numPr>
        <w:spacing w:after="200"/>
        <w:ind w:left="2410" w:hanging="425"/>
        <w:contextualSpacing/>
        <w:rPr>
          <w:rFonts w:ascii="Arial" w:hAnsi="Arial" w:cs="Arial"/>
          <w:noProof/>
          <w:sz w:val="20"/>
        </w:rPr>
      </w:pPr>
      <w:r>
        <w:rPr>
          <w:rFonts w:ascii="Arial" w:hAnsi="Arial" w:cs="Arial"/>
          <w:noProof/>
          <w:sz w:val="20"/>
        </w:rPr>
        <w:t>Directive on caseins and caseinates</w:t>
      </w:r>
      <w:r>
        <w:rPr>
          <w:rStyle w:val="FootnoteReference"/>
          <w:rFonts w:ascii="Arial" w:hAnsi="Arial" w:cs="Arial"/>
          <w:noProof/>
          <w:sz w:val="20"/>
        </w:rPr>
        <w:footnoteReference w:id="152"/>
      </w:r>
      <w:r>
        <w:rPr>
          <w:rFonts w:ascii="Arial" w:hAnsi="Arial" w:cs="Arial"/>
          <w:noProof/>
          <w:sz w:val="20"/>
        </w:rPr>
        <w:t>;</w:t>
      </w:r>
    </w:p>
    <w:p w:rsidR="00E26342" w:rsidRDefault="00040788">
      <w:pPr>
        <w:numPr>
          <w:ilvl w:val="2"/>
          <w:numId w:val="2"/>
        </w:numPr>
        <w:spacing w:after="200"/>
        <w:ind w:left="2410" w:hanging="425"/>
        <w:contextualSpacing/>
        <w:rPr>
          <w:rFonts w:ascii="Arial" w:hAnsi="Arial" w:cs="Arial"/>
          <w:noProof/>
          <w:sz w:val="20"/>
        </w:rPr>
      </w:pPr>
      <w:r>
        <w:rPr>
          <w:rFonts w:ascii="Arial" w:hAnsi="Arial" w:cs="Arial"/>
          <w:noProof/>
          <w:sz w:val="20"/>
        </w:rPr>
        <w:t>Directive on recognition of professional qualification</w:t>
      </w:r>
      <w:r>
        <w:rPr>
          <w:rStyle w:val="FootnoteReference"/>
          <w:rFonts w:ascii="Arial" w:hAnsi="Arial"/>
          <w:noProof/>
          <w:sz w:val="20"/>
        </w:rPr>
        <w:footnoteReference w:id="153"/>
      </w:r>
      <w:r>
        <w:rPr>
          <w:rFonts w:ascii="Arial" w:hAnsi="Arial" w:cs="Arial"/>
          <w:noProof/>
          <w:sz w:val="20"/>
        </w:rPr>
        <w:t>;</w:t>
      </w:r>
    </w:p>
    <w:p w:rsidR="00E26342" w:rsidRDefault="00040788">
      <w:pPr>
        <w:numPr>
          <w:ilvl w:val="2"/>
          <w:numId w:val="2"/>
        </w:numPr>
        <w:spacing w:after="200"/>
        <w:ind w:left="2410" w:hanging="425"/>
        <w:contextualSpacing/>
        <w:rPr>
          <w:rFonts w:ascii="Arial" w:hAnsi="Arial" w:cs="Arial"/>
          <w:noProof/>
          <w:sz w:val="20"/>
        </w:rPr>
      </w:pPr>
      <w:r>
        <w:rPr>
          <w:rFonts w:ascii="Arial" w:hAnsi="Arial"/>
          <w:noProof/>
          <w:sz w:val="20"/>
        </w:rPr>
        <w:t>Fourth Anti-Money Laundering Directive</w:t>
      </w:r>
      <w:r>
        <w:rPr>
          <w:rStyle w:val="FootnoteReference"/>
          <w:rFonts w:ascii="Arial" w:hAnsi="Arial"/>
          <w:noProof/>
          <w:sz w:val="20"/>
        </w:rPr>
        <w:footnoteReference w:id="154"/>
      </w:r>
      <w:r>
        <w:rPr>
          <w:rFonts w:ascii="Arial" w:hAnsi="Arial" w:cs="Arial"/>
          <w:noProof/>
          <w:sz w:val="20"/>
        </w:rPr>
        <w:t>;</w:t>
      </w:r>
    </w:p>
    <w:p w:rsidR="00E26342" w:rsidRDefault="00040788">
      <w:pPr>
        <w:numPr>
          <w:ilvl w:val="2"/>
          <w:numId w:val="2"/>
        </w:numPr>
        <w:spacing w:after="200"/>
        <w:ind w:left="2410" w:hanging="425"/>
        <w:contextualSpacing/>
        <w:rPr>
          <w:rFonts w:ascii="Arial" w:hAnsi="Arial" w:cs="Arial"/>
          <w:noProof/>
          <w:sz w:val="20"/>
        </w:rPr>
      </w:pPr>
      <w:r>
        <w:rPr>
          <w:rFonts w:ascii="Arial" w:hAnsi="Arial" w:cs="Arial"/>
          <w:noProof/>
          <w:sz w:val="20"/>
        </w:rPr>
        <w:t>Markets</w:t>
      </w:r>
      <w:r>
        <w:rPr>
          <w:rFonts w:ascii="Arial" w:hAnsi="Arial" w:cs="Arial"/>
          <w:noProof/>
          <w:sz w:val="20"/>
        </w:rPr>
        <w:t xml:space="preserve"> in Financial Instruments Directive (MiFID II)</w:t>
      </w:r>
      <w:r>
        <w:rPr>
          <w:rStyle w:val="FootnoteReference"/>
          <w:rFonts w:ascii="Arial" w:hAnsi="Arial" w:cs="Arial"/>
          <w:noProof/>
          <w:sz w:val="20"/>
        </w:rPr>
        <w:footnoteReference w:id="155"/>
      </w:r>
      <w:r>
        <w:rPr>
          <w:rFonts w:ascii="Arial" w:hAnsi="Arial" w:cs="Arial"/>
          <w:noProof/>
          <w:sz w:val="20"/>
        </w:rPr>
        <w:t>;</w:t>
      </w:r>
    </w:p>
    <w:p w:rsidR="00E26342" w:rsidRDefault="00040788">
      <w:pPr>
        <w:numPr>
          <w:ilvl w:val="2"/>
          <w:numId w:val="2"/>
        </w:numPr>
        <w:spacing w:after="0"/>
        <w:ind w:left="2410" w:hanging="425"/>
        <w:contextualSpacing/>
        <w:rPr>
          <w:rFonts w:ascii="Arial" w:hAnsi="Arial" w:cs="Arial"/>
          <w:noProof/>
          <w:sz w:val="20"/>
        </w:rPr>
      </w:pPr>
      <w:r>
        <w:rPr>
          <w:rFonts w:ascii="Arial" w:hAnsi="Arial" w:cs="Arial"/>
          <w:noProof/>
          <w:sz w:val="20"/>
        </w:rPr>
        <w:t>Payment Accounts Directive</w:t>
      </w:r>
      <w:r>
        <w:rPr>
          <w:rStyle w:val="FootnoteReference"/>
          <w:rFonts w:ascii="Arial" w:hAnsi="Arial" w:cs="Arial"/>
          <w:noProof/>
          <w:sz w:val="20"/>
        </w:rPr>
        <w:footnoteReference w:id="156"/>
      </w:r>
      <w:r>
        <w:rPr>
          <w:rFonts w:ascii="Arial" w:hAnsi="Arial" w:cs="Arial"/>
          <w:noProof/>
          <w:sz w:val="20"/>
        </w:rPr>
        <w:t>;</w:t>
      </w:r>
    </w:p>
    <w:p w:rsidR="00E26342" w:rsidRDefault="00040788">
      <w:pPr>
        <w:pStyle w:val="Lijstje2"/>
        <w:spacing w:after="200"/>
        <w:ind w:left="1843" w:hanging="425"/>
        <w:rPr>
          <w:rFonts w:ascii="Arial" w:hAnsi="Arial" w:cs="Arial"/>
          <w:noProof/>
          <w:lang w:val="en-GB"/>
        </w:rPr>
      </w:pPr>
      <w:r>
        <w:rPr>
          <w:rFonts w:ascii="Arial" w:hAnsi="Arial"/>
          <w:noProof/>
          <w:lang w:val="en-GB"/>
        </w:rPr>
        <w:t xml:space="preserve">lack of action in </w:t>
      </w:r>
      <w:r>
        <w:rPr>
          <w:rFonts w:ascii="Arial" w:hAnsi="Arial" w:cs="Arial"/>
          <w:noProof/>
          <w:lang w:val="en-GB"/>
        </w:rPr>
        <w:t>preventing</w:t>
      </w:r>
      <w:r>
        <w:rPr>
          <w:rFonts w:ascii="Arial" w:hAnsi="Arial"/>
          <w:noProof/>
          <w:lang w:val="en-GB"/>
        </w:rPr>
        <w:t xml:space="preserve">, deterring and eliminating illegal, unreported and unregulated fishing by </w:t>
      </w:r>
      <w:r>
        <w:rPr>
          <w:rFonts w:ascii="Arial" w:hAnsi="Arial" w:cs="Arial"/>
          <w:noProof/>
          <w:lang w:val="en-GB"/>
        </w:rPr>
        <w:t xml:space="preserve">Portuguese-flagged vessels </w:t>
      </w:r>
      <w:r>
        <w:rPr>
          <w:rFonts w:ascii="Arial" w:hAnsi="Arial"/>
          <w:noProof/>
          <w:lang w:val="en-GB"/>
        </w:rPr>
        <w:t xml:space="preserve">in the waters under the responsibility of the </w:t>
      </w:r>
      <w:r>
        <w:rPr>
          <w:rFonts w:ascii="Arial" w:hAnsi="Arial"/>
          <w:noProof/>
          <w:lang w:val="en-GB"/>
        </w:rPr>
        <w:t>Northwest Atlantic Fisheries Organisation</w:t>
      </w:r>
      <w:r>
        <w:rPr>
          <w:rStyle w:val="FootnoteReference"/>
          <w:rFonts w:ascii="Arial" w:hAnsi="Arial" w:cs="Arial"/>
          <w:noProof/>
          <w:lang w:val="en-GB"/>
        </w:rPr>
        <w:footnoteReference w:id="157"/>
      </w:r>
      <w:r>
        <w:rPr>
          <w:rFonts w:ascii="Arial" w:hAnsi="Arial"/>
          <w:noProof/>
          <w:lang w:val="en-GB"/>
        </w:rPr>
        <w:t>;</w:t>
      </w:r>
    </w:p>
    <w:p w:rsidR="00E26342" w:rsidRDefault="00040788">
      <w:pPr>
        <w:pStyle w:val="Lijstje2"/>
        <w:spacing w:after="200"/>
        <w:ind w:left="1843" w:hanging="425"/>
        <w:rPr>
          <w:rFonts w:ascii="Arial" w:hAnsi="Arial" w:cs="Arial"/>
          <w:noProof/>
          <w:lang w:val="en-GB"/>
        </w:rPr>
      </w:pPr>
      <w:r>
        <w:rPr>
          <w:rFonts w:ascii="Arial" w:hAnsi="Arial" w:cs="Arial"/>
          <w:noProof/>
          <w:lang w:val="en-GB"/>
        </w:rPr>
        <w:t>non-reporting of flood risk management plans under the Floods Directive</w:t>
      </w:r>
      <w:r>
        <w:rPr>
          <w:rStyle w:val="FootnoteReference"/>
          <w:rFonts w:ascii="Arial" w:hAnsi="Arial" w:cs="Arial"/>
          <w:noProof/>
          <w:lang w:val="en-GB"/>
        </w:rPr>
        <w:footnoteReference w:id="158"/>
      </w:r>
      <w:r>
        <w:rPr>
          <w:rFonts w:ascii="Arial" w:hAnsi="Arial" w:cs="Arial"/>
          <w:noProof/>
          <w:lang w:val="en-GB"/>
        </w:rPr>
        <w:t>;</w:t>
      </w:r>
    </w:p>
    <w:p w:rsidR="00E26342" w:rsidRDefault="00040788">
      <w:pPr>
        <w:pStyle w:val="Lijstje2"/>
        <w:spacing w:after="200"/>
        <w:ind w:left="1843" w:hanging="425"/>
        <w:rPr>
          <w:rFonts w:ascii="Arial" w:hAnsi="Arial" w:cs="Arial"/>
          <w:i/>
          <w:noProof/>
          <w:lang w:val="en-GB"/>
        </w:rPr>
      </w:pPr>
      <w:r>
        <w:rPr>
          <w:rFonts w:ascii="Arial" w:hAnsi="Arial" w:cs="Arial"/>
          <w:noProof/>
          <w:lang w:val="en-GB"/>
        </w:rPr>
        <w:t>failure to establish strategic noise maps and action plans required by the Noise Directive</w:t>
      </w:r>
      <w:r>
        <w:rPr>
          <w:rStyle w:val="FootnoteReference"/>
          <w:rFonts w:ascii="Arial" w:hAnsi="Arial" w:cs="Arial"/>
          <w:noProof/>
          <w:lang w:val="en-GB"/>
        </w:rPr>
        <w:footnoteReference w:id="159"/>
      </w:r>
      <w:r>
        <w:rPr>
          <w:rFonts w:ascii="Arial" w:hAnsi="Arial" w:cs="Arial"/>
          <w:noProof/>
          <w:lang w:val="en-GB"/>
        </w:rPr>
        <w:t>;</w:t>
      </w:r>
    </w:p>
    <w:p w:rsidR="00E26342" w:rsidRDefault="00040788">
      <w:pPr>
        <w:pStyle w:val="Lijstje2"/>
        <w:spacing w:after="200"/>
        <w:ind w:left="1843" w:hanging="425"/>
        <w:rPr>
          <w:rFonts w:ascii="Arial" w:hAnsi="Arial" w:cs="Arial"/>
          <w:i/>
          <w:noProof/>
          <w:lang w:val="en-GB"/>
        </w:rPr>
      </w:pPr>
      <w:r>
        <w:rPr>
          <w:rFonts w:ascii="Arial" w:hAnsi="Arial" w:cs="Arial"/>
          <w:noProof/>
          <w:lang w:val="en-GB"/>
        </w:rPr>
        <w:t>non-compliance with the Radioactive Waste Dir</w:t>
      </w:r>
      <w:r>
        <w:rPr>
          <w:rFonts w:ascii="Arial" w:hAnsi="Arial" w:cs="Arial"/>
          <w:noProof/>
          <w:lang w:val="en-GB"/>
        </w:rPr>
        <w:t>ective</w:t>
      </w:r>
      <w:r>
        <w:rPr>
          <w:rStyle w:val="FootnoteReference"/>
          <w:rFonts w:ascii="Arial" w:hAnsi="Arial" w:cs="Arial"/>
          <w:i/>
          <w:noProof/>
          <w:lang w:val="en-GB"/>
        </w:rPr>
        <w:footnoteReference w:id="160"/>
      </w:r>
      <w:r>
        <w:rPr>
          <w:rFonts w:ascii="Arial" w:hAnsi="Arial" w:cs="Arial"/>
          <w:noProof/>
          <w:lang w:val="en-GB"/>
        </w:rPr>
        <w:t>;</w:t>
      </w:r>
    </w:p>
    <w:p w:rsidR="00E26342" w:rsidRDefault="00040788">
      <w:pPr>
        <w:pStyle w:val="Lijstje2"/>
        <w:spacing w:after="200"/>
        <w:ind w:left="1843" w:hanging="425"/>
        <w:rPr>
          <w:rFonts w:ascii="Arial" w:hAnsi="Arial" w:cs="Arial"/>
          <w:i/>
          <w:noProof/>
          <w:lang w:val="en-GB"/>
        </w:rPr>
      </w:pPr>
      <w:r>
        <w:rPr>
          <w:rFonts w:ascii="Arial" w:hAnsi="Arial" w:cs="Arial"/>
          <w:noProof/>
          <w:lang w:val="en-GB"/>
        </w:rPr>
        <w:t>non-compliance with the Pressure Equipment Directive, by imposing additional requirements on pressure equipment that is already CE-marked</w:t>
      </w:r>
      <w:r>
        <w:rPr>
          <w:rStyle w:val="FootnoteReference"/>
          <w:rFonts w:ascii="Arial" w:hAnsi="Arial" w:cs="Arial"/>
          <w:noProof/>
          <w:lang w:val="en-GB"/>
        </w:rPr>
        <w:footnoteReference w:id="161"/>
      </w:r>
      <w:r>
        <w:rPr>
          <w:rFonts w:ascii="Arial" w:hAnsi="Arial" w:cs="Arial"/>
          <w:noProof/>
          <w:lang w:val="en-GB"/>
        </w:rPr>
        <w:t>;</w:t>
      </w:r>
    </w:p>
    <w:p w:rsidR="00E26342" w:rsidRDefault="00040788">
      <w:pPr>
        <w:pStyle w:val="Lijstje2"/>
        <w:spacing w:after="200"/>
        <w:ind w:left="1843" w:hanging="425"/>
        <w:rPr>
          <w:rFonts w:ascii="Arial" w:hAnsi="Arial" w:cs="Arial"/>
          <w:i/>
          <w:noProof/>
          <w:lang w:val="en-GB"/>
        </w:rPr>
      </w:pPr>
      <w:r>
        <w:rPr>
          <w:rFonts w:ascii="Arial" w:hAnsi="Arial" w:cs="Arial"/>
          <w:noProof/>
          <w:lang w:val="en-GB"/>
        </w:rPr>
        <w:t>incorrect application of the Late Payment Directive</w:t>
      </w:r>
      <w:r>
        <w:rPr>
          <w:rStyle w:val="FootnoteReference"/>
          <w:rFonts w:ascii="Arial" w:hAnsi="Arial" w:cs="Arial"/>
          <w:noProof/>
          <w:lang w:val="en-GB"/>
        </w:rPr>
        <w:footnoteReference w:id="162"/>
      </w:r>
      <w:r>
        <w:rPr>
          <w:rFonts w:ascii="Arial" w:hAnsi="Arial" w:cs="Arial"/>
          <w:noProof/>
          <w:lang w:val="en-GB"/>
        </w:rPr>
        <w:t>;</w:t>
      </w:r>
    </w:p>
    <w:p w:rsidR="00E26342" w:rsidRDefault="00040788">
      <w:pPr>
        <w:pStyle w:val="Lijstje2"/>
        <w:spacing w:after="200"/>
        <w:ind w:left="1843" w:hanging="425"/>
        <w:rPr>
          <w:rFonts w:ascii="Arial" w:hAnsi="Arial" w:cs="Arial"/>
          <w:noProof/>
          <w:lang w:val="en-GB"/>
        </w:rPr>
      </w:pPr>
      <w:r>
        <w:rPr>
          <w:rFonts w:ascii="Arial" w:hAnsi="Arial"/>
          <w:noProof/>
          <w:lang w:val="en-GB"/>
        </w:rPr>
        <w:t xml:space="preserve">disproportionate charges for residence permits under </w:t>
      </w:r>
      <w:r>
        <w:rPr>
          <w:rFonts w:ascii="Arial" w:hAnsi="Arial"/>
          <w:noProof/>
          <w:lang w:val="en-GB"/>
        </w:rPr>
        <w:t>the Directives on legal migration</w:t>
      </w:r>
      <w:r>
        <w:rPr>
          <w:rStyle w:val="FootnoteReference"/>
          <w:rFonts w:ascii="Arial" w:hAnsi="Arial" w:cs="Arial"/>
          <w:noProof/>
          <w:lang w:val="en-GB"/>
        </w:rPr>
        <w:footnoteReference w:id="163"/>
      </w:r>
      <w:r>
        <w:rPr>
          <w:rFonts w:ascii="Arial" w:hAnsi="Arial"/>
          <w:noProof/>
          <w:lang w:val="en-GB"/>
        </w:rPr>
        <w:t>.</w:t>
      </w:r>
    </w:p>
    <w:p w:rsidR="00E26342" w:rsidRDefault="00040788">
      <w:pPr>
        <w:pStyle w:val="Lijstje"/>
        <w:numPr>
          <w:ilvl w:val="0"/>
          <w:numId w:val="4"/>
        </w:numPr>
        <w:ind w:left="1276" w:hanging="425"/>
        <w:rPr>
          <w:noProof/>
        </w:rPr>
      </w:pPr>
      <w:r>
        <w:rPr>
          <w:noProof/>
        </w:rPr>
        <w:t>The Commission refer three cases to the Court under Article 258 TFEU. These concern:</w:t>
      </w:r>
    </w:p>
    <w:p w:rsidR="00E26342" w:rsidRDefault="00040788">
      <w:pPr>
        <w:pStyle w:val="Lijstje2"/>
        <w:numPr>
          <w:ilvl w:val="0"/>
          <w:numId w:val="31"/>
        </w:numPr>
        <w:spacing w:after="200"/>
        <w:ind w:left="1843" w:hanging="425"/>
        <w:rPr>
          <w:noProof/>
          <w:lang w:val="en-GB"/>
        </w:rPr>
      </w:pPr>
      <w:r>
        <w:rPr>
          <w:rFonts w:ascii="Arial" w:hAnsi="Arial" w:cs="Arial"/>
          <w:noProof/>
          <w:lang w:val="en-GB"/>
        </w:rPr>
        <w:t>incorrect transposition of the Directive on driving licences</w:t>
      </w:r>
      <w:r>
        <w:rPr>
          <w:rStyle w:val="FootnoteReference"/>
          <w:rFonts w:ascii="Arial" w:hAnsi="Arial" w:cs="Arial"/>
          <w:noProof/>
          <w:lang w:val="en-GB"/>
        </w:rPr>
        <w:footnoteReference w:id="164"/>
      </w:r>
      <w:r>
        <w:rPr>
          <w:rFonts w:ascii="Arial" w:hAnsi="Arial" w:cs="Arial"/>
          <w:noProof/>
          <w:lang w:val="en-GB"/>
        </w:rPr>
        <w:t>;</w:t>
      </w:r>
    </w:p>
    <w:p w:rsidR="00E26342" w:rsidRDefault="00040788">
      <w:pPr>
        <w:pStyle w:val="Lijstje2"/>
        <w:numPr>
          <w:ilvl w:val="0"/>
          <w:numId w:val="31"/>
        </w:numPr>
        <w:spacing w:after="200"/>
        <w:ind w:left="1843" w:hanging="425"/>
        <w:rPr>
          <w:rFonts w:ascii="Arial" w:hAnsi="Arial" w:cs="Arial"/>
          <w:noProof/>
          <w:lang w:val="en-GB"/>
        </w:rPr>
      </w:pPr>
      <w:r>
        <w:rPr>
          <w:rFonts w:ascii="Arial" w:hAnsi="Arial" w:cs="Arial"/>
          <w:noProof/>
          <w:lang w:val="en-GB"/>
        </w:rPr>
        <w:t xml:space="preserve">incorrect transposition of the Directive on common rules and standards </w:t>
      </w:r>
      <w:r>
        <w:rPr>
          <w:rFonts w:ascii="Arial" w:hAnsi="Arial" w:cs="Arial"/>
          <w:noProof/>
          <w:lang w:val="en-GB"/>
        </w:rPr>
        <w:t>for ship inspection and survey organisations and for the relevant activities of maritime administrations</w:t>
      </w:r>
      <w:r>
        <w:rPr>
          <w:rStyle w:val="FootnoteReference"/>
          <w:rFonts w:ascii="Arial" w:hAnsi="Arial" w:cs="Arial"/>
          <w:noProof/>
          <w:lang w:val="en-GB"/>
        </w:rPr>
        <w:footnoteReference w:id="165"/>
      </w:r>
      <w:r>
        <w:rPr>
          <w:rFonts w:ascii="Arial" w:hAnsi="Arial" w:cs="Arial"/>
          <w:noProof/>
          <w:lang w:val="en-GB"/>
        </w:rPr>
        <w:t>;</w:t>
      </w:r>
    </w:p>
    <w:p w:rsidR="00E26342" w:rsidRDefault="00040788">
      <w:pPr>
        <w:pStyle w:val="Lijstje2"/>
        <w:numPr>
          <w:ilvl w:val="0"/>
          <w:numId w:val="31"/>
        </w:numPr>
        <w:spacing w:after="200"/>
        <w:ind w:left="1843" w:hanging="425"/>
        <w:rPr>
          <w:rFonts w:ascii="Arial" w:hAnsi="Arial" w:cs="Arial"/>
          <w:noProof/>
          <w:lang w:val="en-GB"/>
        </w:rPr>
      </w:pPr>
      <w:r>
        <w:rPr>
          <w:rFonts w:ascii="Arial" w:hAnsi="Arial" w:cs="Arial"/>
          <w:noProof/>
          <w:lang w:val="en-GB"/>
        </w:rPr>
        <w:t>lack of a certified quality management system for the Portuguese administration’s flag State-related activities</w:t>
      </w:r>
      <w:r>
        <w:rPr>
          <w:rStyle w:val="FootnoteReference"/>
          <w:rFonts w:ascii="Arial" w:hAnsi="Arial" w:cs="Arial"/>
          <w:noProof/>
          <w:lang w:val="en-GB"/>
        </w:rPr>
        <w:footnoteReference w:id="166"/>
      </w:r>
      <w:r>
        <w:rPr>
          <w:rFonts w:ascii="Arial" w:hAnsi="Arial" w:cs="Arial"/>
          <w:noProof/>
          <w:lang w:val="en-GB"/>
        </w:rPr>
        <w:t>.</w:t>
      </w:r>
    </w:p>
    <w:p w:rsidR="00E26342" w:rsidRDefault="00040788">
      <w:pPr>
        <w:pStyle w:val="Lijstje"/>
        <w:numPr>
          <w:ilvl w:val="0"/>
          <w:numId w:val="4"/>
        </w:numPr>
        <w:ind w:left="1276" w:hanging="425"/>
        <w:rPr>
          <w:noProof/>
        </w:rPr>
      </w:pPr>
      <w:r>
        <w:rPr>
          <w:noProof/>
        </w:rPr>
        <w:t>The Commission did not refer any ca</w:t>
      </w:r>
      <w:r>
        <w:rPr>
          <w:noProof/>
        </w:rPr>
        <w:t>ses to the Court under Article 260(2) TFEU.</w:t>
      </w:r>
    </w:p>
    <w:p w:rsidR="00E26342" w:rsidRDefault="00040788">
      <w:pPr>
        <w:spacing w:after="200" w:line="276" w:lineRule="auto"/>
        <w:jc w:val="left"/>
        <w:rPr>
          <w:rFonts w:ascii="Arial" w:eastAsia="MS Gothic" w:hAnsi="Arial" w:cs="Arial"/>
          <w:caps/>
          <w:noProof/>
          <w:color w:val="4F81BD"/>
          <w:kern w:val="20"/>
          <w:szCs w:val="24"/>
        </w:rPr>
      </w:pPr>
      <w:r>
        <w:rPr>
          <w:noProof/>
        </w:rPr>
        <w:br w:type="page"/>
      </w:r>
    </w:p>
    <w:p w:rsidR="00E26342" w:rsidRDefault="00040788">
      <w:pPr>
        <w:pStyle w:val="AnnualReport1"/>
        <w:spacing w:after="240"/>
        <w:ind w:left="709" w:hanging="425"/>
        <w:rPr>
          <w:noProof/>
        </w:rPr>
      </w:pPr>
      <w:r>
        <w:rPr>
          <w:noProof/>
        </w:rPr>
        <w:t>TRANSPOSITION OF DIRECTIVES</w:t>
      </w:r>
    </w:p>
    <w:p w:rsidR="00E26342" w:rsidRDefault="00040788">
      <w:pPr>
        <w:pStyle w:val="AnnualReport2"/>
        <w:numPr>
          <w:ilvl w:val="0"/>
          <w:numId w:val="80"/>
        </w:numPr>
        <w:ind w:left="709" w:hanging="425"/>
        <w:rPr>
          <w:noProof/>
        </w:rPr>
      </w:pPr>
      <w:r>
        <w:rPr>
          <w:noProof/>
        </w:rPr>
        <w:t>Late transposition infringement cases against Portugal open on 31 December (2013-2017)</w:t>
      </w:r>
    </w:p>
    <w:p w:rsidR="00E26342" w:rsidRDefault="00040788">
      <w:pPr>
        <w:spacing w:before="360"/>
        <w:ind w:left="425" w:firstLine="284"/>
        <w:rPr>
          <w:noProof/>
        </w:rPr>
      </w:pPr>
      <w:r>
        <w:rPr>
          <w:noProof/>
          <w:lang w:eastAsia="en-GB"/>
        </w:rPr>
        <w:drawing>
          <wp:inline distT="0" distB="0" distL="0" distR="0" wp14:anchorId="502CA86B" wp14:editId="5C45FB1E">
            <wp:extent cx="4594860" cy="2263140"/>
            <wp:effectExtent l="0" t="0" r="15240" b="22860"/>
            <wp:docPr id="241"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E26342" w:rsidRDefault="00040788">
      <w:pPr>
        <w:pStyle w:val="AnnualReport2"/>
        <w:numPr>
          <w:ilvl w:val="0"/>
          <w:numId w:val="63"/>
        </w:numPr>
        <w:ind w:left="709" w:hanging="425"/>
        <w:rPr>
          <w:noProof/>
        </w:rPr>
      </w:pPr>
      <w:r>
        <w:rPr>
          <w:noProof/>
        </w:rPr>
        <w:t>New late transposition infringement cases against Portugal (2013-2017)</w:t>
      </w:r>
    </w:p>
    <w:p w:rsidR="00E26342" w:rsidRDefault="00040788">
      <w:pPr>
        <w:spacing w:before="360"/>
        <w:ind w:firstLine="709"/>
        <w:rPr>
          <w:rFonts w:ascii="Arial" w:hAnsi="Arial" w:cs="Arial"/>
          <w:noProof/>
          <w:sz w:val="20"/>
        </w:rPr>
      </w:pPr>
      <w:r>
        <w:rPr>
          <w:rFonts w:ascii="Arial" w:hAnsi="Arial" w:cs="Arial"/>
          <w:noProof/>
          <w:sz w:val="20"/>
          <w:lang w:eastAsia="en-GB"/>
        </w:rPr>
        <w:drawing>
          <wp:inline distT="0" distB="0" distL="0" distR="0" wp14:anchorId="03BF9D78" wp14:editId="6908C9D3">
            <wp:extent cx="4594860" cy="2286000"/>
            <wp:effectExtent l="0" t="0" r="15240" b="19050"/>
            <wp:docPr id="242"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E26342" w:rsidRDefault="00040788">
      <w:pPr>
        <w:pStyle w:val="AnnualReport2"/>
        <w:numPr>
          <w:ilvl w:val="0"/>
          <w:numId w:val="63"/>
        </w:numPr>
        <w:spacing w:before="0"/>
        <w:ind w:left="709" w:hanging="425"/>
        <w:rPr>
          <w:noProof/>
        </w:rPr>
      </w:pPr>
      <w:r>
        <w:rPr>
          <w:noProof/>
        </w:rPr>
        <w:t xml:space="preserve">New late </w:t>
      </w:r>
      <w:r>
        <w:rPr>
          <w:noProof/>
        </w:rPr>
        <w:t>transposition infringement cases opened in 2017: main policy areas</w:t>
      </w:r>
    </w:p>
    <w:p w:rsidR="00E26342" w:rsidRDefault="00040788">
      <w:pPr>
        <w:spacing w:before="360"/>
        <w:ind w:firstLine="709"/>
        <w:rPr>
          <w:rFonts w:ascii="Arial" w:hAnsi="Arial" w:cs="Arial"/>
          <w:noProof/>
          <w:sz w:val="20"/>
        </w:rPr>
      </w:pPr>
      <w:r>
        <w:rPr>
          <w:rFonts w:ascii="Arial" w:hAnsi="Arial" w:cs="Arial"/>
          <w:noProof/>
          <w:sz w:val="20"/>
          <w:lang w:eastAsia="en-GB"/>
        </w:rPr>
        <w:drawing>
          <wp:inline distT="0" distB="0" distL="0" distR="0" wp14:anchorId="11339D90" wp14:editId="04306519">
            <wp:extent cx="4580255" cy="2250440"/>
            <wp:effectExtent l="0" t="0" r="10795" b="16510"/>
            <wp:docPr id="243" name="Object 2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E26342" w:rsidRDefault="00040788">
      <w:pPr>
        <w:pStyle w:val="AnnualReport2"/>
        <w:numPr>
          <w:ilvl w:val="0"/>
          <w:numId w:val="63"/>
        </w:numPr>
        <w:spacing w:after="120"/>
        <w:ind w:left="709" w:hanging="425"/>
        <w:rPr>
          <w:noProof/>
        </w:rPr>
      </w:pPr>
      <w:r>
        <w:rPr>
          <w:noProof/>
        </w:rPr>
        <w:t>Referrals to the Court</w:t>
      </w:r>
    </w:p>
    <w:p w:rsidR="00E26342" w:rsidRDefault="00040788">
      <w:pPr>
        <w:spacing w:before="360"/>
        <w:ind w:left="709"/>
        <w:rPr>
          <w:rFonts w:ascii="Arial" w:eastAsia="Calibri" w:hAnsi="Arial" w:cs="Arial"/>
          <w:noProof/>
          <w:kern w:val="20"/>
          <w:sz w:val="20"/>
        </w:rPr>
      </w:pPr>
      <w:r>
        <w:rPr>
          <w:rFonts w:ascii="Arial" w:eastAsia="Calibri" w:hAnsi="Arial" w:cs="Arial"/>
          <w:noProof/>
          <w:kern w:val="20"/>
          <w:sz w:val="20"/>
        </w:rPr>
        <w:t>The Commission did not refer any cases to the Court under Articles 258 and 260(3) TFEU.</w:t>
      </w:r>
    </w:p>
    <w:p w:rsidR="00E26342" w:rsidRDefault="00040788">
      <w:pPr>
        <w:pStyle w:val="AnnualReport1"/>
        <w:spacing w:after="240"/>
        <w:ind w:left="709" w:hanging="425"/>
        <w:rPr>
          <w:noProof/>
        </w:rPr>
      </w:pPr>
      <w:r>
        <w:rPr>
          <w:noProof/>
        </w:rPr>
        <w:t>EARLY RESOLUTION OF INFRINGEMENT CASES</w:t>
      </w:r>
    </w:p>
    <w:p w:rsidR="00E26342" w:rsidRDefault="00040788">
      <w:pPr>
        <w:spacing w:after="60"/>
        <w:ind w:left="709"/>
        <w:jc w:val="left"/>
        <w:outlineLvl w:val="1"/>
        <w:rPr>
          <w:rFonts w:ascii="Arial" w:hAnsi="Arial"/>
          <w:noProof/>
          <w:color w:val="002060"/>
          <w:sz w:val="22"/>
          <w:szCs w:val="22"/>
        </w:rPr>
      </w:pPr>
      <w:r>
        <w:rPr>
          <w:rFonts w:ascii="Arial" w:hAnsi="Arial"/>
          <w:noProof/>
          <w:color w:val="002060"/>
          <w:sz w:val="22"/>
          <w:szCs w:val="22"/>
        </w:rPr>
        <w:t xml:space="preserve">Major cases closed without a Court </w:t>
      </w:r>
      <w:r>
        <w:rPr>
          <w:rFonts w:ascii="Arial" w:hAnsi="Arial"/>
          <w:noProof/>
          <w:color w:val="002060"/>
          <w:sz w:val="22"/>
          <w:szCs w:val="22"/>
        </w:rPr>
        <w:t>judgment in 2017</w:t>
      </w:r>
    </w:p>
    <w:p w:rsidR="00E26342" w:rsidRDefault="00040788">
      <w:pPr>
        <w:spacing w:before="120" w:after="120"/>
        <w:ind w:firstLine="709"/>
        <w:rPr>
          <w:rFonts w:ascii="Arial" w:hAnsi="Arial" w:cs="Arial"/>
          <w:noProof/>
          <w:sz w:val="20"/>
        </w:rPr>
      </w:pPr>
      <w:r>
        <w:rPr>
          <w:rFonts w:ascii="Arial" w:hAnsi="Arial" w:cs="Arial"/>
          <w:noProof/>
          <w:sz w:val="20"/>
        </w:rPr>
        <w:t>These concerned:</w:t>
      </w:r>
    </w:p>
    <w:p w:rsidR="00E26342" w:rsidRDefault="00040788">
      <w:pPr>
        <w:pStyle w:val="Lijstje2"/>
        <w:spacing w:after="0"/>
        <w:ind w:left="1276" w:hanging="425"/>
        <w:rPr>
          <w:rFonts w:ascii="Arial" w:hAnsi="Arial" w:cs="Arial"/>
          <w:noProof/>
          <w:lang w:val="en-GB"/>
        </w:rPr>
      </w:pPr>
      <w:r>
        <w:rPr>
          <w:rFonts w:ascii="Arial" w:hAnsi="Arial" w:cs="Arial"/>
          <w:noProof/>
          <w:lang w:val="en-GB"/>
        </w:rPr>
        <w:t>non-communication of national measures transposing the:</w:t>
      </w:r>
    </w:p>
    <w:p w:rsidR="00E26342" w:rsidRDefault="00040788">
      <w:pPr>
        <w:numPr>
          <w:ilvl w:val="2"/>
          <w:numId w:val="2"/>
        </w:numPr>
        <w:spacing w:after="200"/>
        <w:ind w:left="1843" w:hanging="425"/>
        <w:contextualSpacing/>
        <w:rPr>
          <w:rFonts w:ascii="Arial" w:hAnsi="Arial" w:cs="Arial"/>
          <w:noProof/>
          <w:sz w:val="20"/>
        </w:rPr>
      </w:pPr>
      <w:r>
        <w:rPr>
          <w:rFonts w:ascii="Arial" w:hAnsi="Arial" w:cs="Arial"/>
          <w:noProof/>
          <w:sz w:val="20"/>
        </w:rPr>
        <w:t>Directive on caseins and caseinates</w:t>
      </w:r>
      <w:r>
        <w:rPr>
          <w:rStyle w:val="FootnoteReference"/>
          <w:rFonts w:ascii="Arial" w:hAnsi="Arial" w:cs="Arial"/>
          <w:noProof/>
          <w:sz w:val="20"/>
        </w:rPr>
        <w:footnoteReference w:id="167"/>
      </w:r>
      <w:r>
        <w:rPr>
          <w:rFonts w:ascii="Arial" w:hAnsi="Arial" w:cs="Arial"/>
          <w:noProof/>
          <w:sz w:val="20"/>
        </w:rPr>
        <w:t>;</w:t>
      </w:r>
    </w:p>
    <w:p w:rsidR="00E26342" w:rsidRDefault="00040788">
      <w:pPr>
        <w:numPr>
          <w:ilvl w:val="2"/>
          <w:numId w:val="2"/>
        </w:numPr>
        <w:spacing w:after="200"/>
        <w:ind w:left="1843" w:hanging="425"/>
        <w:contextualSpacing/>
        <w:rPr>
          <w:rFonts w:ascii="Arial" w:hAnsi="Arial" w:cs="Arial"/>
          <w:noProof/>
          <w:sz w:val="20"/>
        </w:rPr>
      </w:pPr>
      <w:r>
        <w:rPr>
          <w:rFonts w:ascii="Arial" w:hAnsi="Arial" w:cs="Arial"/>
          <w:bCs/>
          <w:noProof/>
          <w:sz w:val="20"/>
        </w:rPr>
        <w:t>‘Qualifications’ Directive</w:t>
      </w:r>
      <w:r>
        <w:rPr>
          <w:rStyle w:val="FootnoteReference"/>
          <w:rFonts w:ascii="Arial" w:hAnsi="Arial" w:cs="Arial"/>
          <w:bCs/>
          <w:noProof/>
          <w:sz w:val="20"/>
        </w:rPr>
        <w:footnoteReference w:id="168"/>
      </w:r>
      <w:r>
        <w:rPr>
          <w:rFonts w:ascii="Arial" w:hAnsi="Arial" w:cs="Arial"/>
          <w:bCs/>
          <w:noProof/>
          <w:sz w:val="20"/>
        </w:rPr>
        <w:t>;</w:t>
      </w:r>
    </w:p>
    <w:p w:rsidR="00E26342" w:rsidRDefault="00040788">
      <w:pPr>
        <w:numPr>
          <w:ilvl w:val="2"/>
          <w:numId w:val="2"/>
        </w:numPr>
        <w:spacing w:after="200"/>
        <w:ind w:left="1843" w:hanging="425"/>
        <w:contextualSpacing/>
        <w:rPr>
          <w:rFonts w:ascii="Arial" w:hAnsi="Arial" w:cs="Arial"/>
          <w:noProof/>
          <w:sz w:val="20"/>
        </w:rPr>
      </w:pPr>
      <w:r>
        <w:rPr>
          <w:rFonts w:ascii="Arial" w:hAnsi="Arial" w:cs="Arial"/>
          <w:bCs/>
          <w:noProof/>
          <w:sz w:val="20"/>
        </w:rPr>
        <w:t>Directive on recognition of professional qualifications</w:t>
      </w:r>
      <w:r>
        <w:rPr>
          <w:rStyle w:val="FootnoteReference"/>
          <w:noProof/>
        </w:rPr>
        <w:footnoteReference w:id="169"/>
      </w:r>
      <w:r>
        <w:rPr>
          <w:rFonts w:ascii="Arial" w:hAnsi="Arial" w:cs="Arial"/>
          <w:bCs/>
          <w:noProof/>
          <w:sz w:val="20"/>
        </w:rPr>
        <w:t>;</w:t>
      </w:r>
    </w:p>
    <w:p w:rsidR="00E26342" w:rsidRDefault="00040788">
      <w:pPr>
        <w:numPr>
          <w:ilvl w:val="2"/>
          <w:numId w:val="2"/>
        </w:numPr>
        <w:spacing w:after="200"/>
        <w:ind w:left="1843" w:hanging="425"/>
        <w:contextualSpacing/>
        <w:rPr>
          <w:rFonts w:ascii="Arial" w:hAnsi="Arial" w:cs="Arial"/>
          <w:noProof/>
          <w:sz w:val="20"/>
        </w:rPr>
      </w:pPr>
      <w:r>
        <w:rPr>
          <w:rFonts w:ascii="Arial" w:hAnsi="Arial" w:cs="Arial"/>
          <w:noProof/>
          <w:sz w:val="20"/>
        </w:rPr>
        <w:t>Directive</w:t>
      </w:r>
      <w:r>
        <w:rPr>
          <w:rStyle w:val="FootnoteReference"/>
          <w:rFonts w:ascii="Arial" w:hAnsi="Arial" w:cs="Arial"/>
          <w:noProof/>
          <w:sz w:val="20"/>
        </w:rPr>
        <w:footnoteReference w:id="170"/>
      </w:r>
      <w:r>
        <w:rPr>
          <w:rFonts w:ascii="Arial" w:hAnsi="Arial" w:cs="Arial"/>
          <w:noProof/>
          <w:sz w:val="20"/>
        </w:rPr>
        <w:t xml:space="preserve"> laying down </w:t>
      </w:r>
      <w:r>
        <w:rPr>
          <w:rFonts w:ascii="Arial" w:hAnsi="Arial" w:cs="Arial"/>
          <w:bCs/>
          <w:noProof/>
          <w:sz w:val="20"/>
        </w:rPr>
        <w:t>calculation</w:t>
      </w:r>
      <w:r>
        <w:rPr>
          <w:rFonts w:ascii="Arial" w:hAnsi="Arial" w:cs="Arial"/>
          <w:noProof/>
          <w:sz w:val="20"/>
        </w:rPr>
        <w:t xml:space="preserve"> method</w:t>
      </w:r>
      <w:r>
        <w:rPr>
          <w:rFonts w:ascii="Arial" w:hAnsi="Arial" w:cs="Arial"/>
          <w:noProof/>
          <w:sz w:val="20"/>
        </w:rPr>
        <w:t>s and reporting requirements pursuant to the Directive on fuels quality</w:t>
      </w:r>
      <w:r>
        <w:rPr>
          <w:rStyle w:val="FootnoteReference"/>
          <w:rFonts w:ascii="Arial" w:hAnsi="Arial" w:cs="Arial"/>
          <w:noProof/>
          <w:sz w:val="20"/>
        </w:rPr>
        <w:footnoteReference w:id="171"/>
      </w:r>
      <w:r>
        <w:rPr>
          <w:rFonts w:ascii="Arial" w:hAnsi="Arial" w:cs="Arial"/>
          <w:noProof/>
          <w:sz w:val="20"/>
        </w:rPr>
        <w:t>;</w:t>
      </w:r>
    </w:p>
    <w:p w:rsidR="00E26342" w:rsidRDefault="00040788">
      <w:pPr>
        <w:numPr>
          <w:ilvl w:val="2"/>
          <w:numId w:val="2"/>
        </w:numPr>
        <w:spacing w:after="200"/>
        <w:ind w:left="1843" w:hanging="425"/>
        <w:contextualSpacing/>
        <w:rPr>
          <w:rStyle w:val="Strong"/>
          <w:rFonts w:ascii="Arial" w:hAnsi="Arial" w:cs="Arial"/>
          <w:b w:val="0"/>
          <w:bCs w:val="0"/>
          <w:noProof/>
          <w:sz w:val="20"/>
        </w:rPr>
      </w:pPr>
      <w:r>
        <w:rPr>
          <w:rStyle w:val="Strong"/>
          <w:rFonts w:ascii="Arial" w:hAnsi="Arial" w:cs="Arial"/>
          <w:b w:val="0"/>
          <w:noProof/>
          <w:sz w:val="20"/>
        </w:rPr>
        <w:t>Directive relating to the making available on the market of simple pressure vessels</w:t>
      </w:r>
      <w:r>
        <w:rPr>
          <w:rStyle w:val="FootnoteReference"/>
          <w:rFonts w:ascii="Arial" w:hAnsi="Arial" w:cs="Arial"/>
          <w:bCs/>
          <w:noProof/>
          <w:sz w:val="20"/>
        </w:rPr>
        <w:footnoteReference w:id="172"/>
      </w:r>
      <w:r>
        <w:rPr>
          <w:rStyle w:val="Strong"/>
          <w:rFonts w:ascii="Arial" w:hAnsi="Arial" w:cs="Arial"/>
          <w:b w:val="0"/>
          <w:noProof/>
          <w:sz w:val="20"/>
        </w:rPr>
        <w:t>;</w:t>
      </w:r>
    </w:p>
    <w:p w:rsidR="00E26342" w:rsidRDefault="00040788">
      <w:pPr>
        <w:numPr>
          <w:ilvl w:val="2"/>
          <w:numId w:val="2"/>
        </w:numPr>
        <w:spacing w:after="200"/>
        <w:ind w:left="1843" w:hanging="425"/>
        <w:contextualSpacing/>
        <w:rPr>
          <w:rFonts w:ascii="Arial" w:hAnsi="Arial" w:cs="Arial"/>
          <w:noProof/>
          <w:sz w:val="20"/>
        </w:rPr>
      </w:pPr>
      <w:r>
        <w:rPr>
          <w:rFonts w:ascii="Arial" w:hAnsi="Arial" w:cs="Arial"/>
          <w:noProof/>
          <w:sz w:val="20"/>
        </w:rPr>
        <w:t>Directive on lifts</w:t>
      </w:r>
      <w:r>
        <w:rPr>
          <w:rStyle w:val="FootnoteReference"/>
          <w:rFonts w:ascii="Arial" w:hAnsi="Arial" w:cs="Arial"/>
          <w:noProof/>
          <w:sz w:val="20"/>
        </w:rPr>
        <w:footnoteReference w:id="173"/>
      </w:r>
      <w:r>
        <w:rPr>
          <w:rFonts w:ascii="Arial" w:hAnsi="Arial" w:cs="Arial"/>
          <w:noProof/>
          <w:sz w:val="20"/>
        </w:rPr>
        <w:t>;</w:t>
      </w:r>
    </w:p>
    <w:p w:rsidR="00E26342" w:rsidRDefault="00040788">
      <w:pPr>
        <w:numPr>
          <w:ilvl w:val="2"/>
          <w:numId w:val="2"/>
        </w:numPr>
        <w:spacing w:after="200"/>
        <w:ind w:left="1843" w:hanging="425"/>
        <w:contextualSpacing/>
        <w:rPr>
          <w:rStyle w:val="Strong"/>
          <w:rFonts w:ascii="Arial" w:hAnsi="Arial" w:cs="Arial"/>
          <w:b w:val="0"/>
          <w:bCs w:val="0"/>
          <w:noProof/>
          <w:sz w:val="20"/>
        </w:rPr>
      </w:pPr>
      <w:r>
        <w:rPr>
          <w:rFonts w:ascii="Arial" w:hAnsi="Arial" w:cs="Arial"/>
          <w:noProof/>
          <w:sz w:val="20"/>
        </w:rPr>
        <w:t>Low Voltage Directive</w:t>
      </w:r>
      <w:r>
        <w:rPr>
          <w:rStyle w:val="FootnoteReference"/>
          <w:rFonts w:ascii="Arial" w:hAnsi="Arial" w:cs="Arial"/>
          <w:bCs/>
          <w:noProof/>
          <w:sz w:val="20"/>
        </w:rPr>
        <w:footnoteReference w:id="174"/>
      </w:r>
      <w:r>
        <w:rPr>
          <w:rStyle w:val="Strong"/>
          <w:rFonts w:ascii="Arial" w:hAnsi="Arial" w:cs="Arial"/>
          <w:b w:val="0"/>
          <w:noProof/>
          <w:sz w:val="20"/>
        </w:rPr>
        <w:t>;</w:t>
      </w:r>
    </w:p>
    <w:p w:rsidR="00E26342" w:rsidRDefault="00040788">
      <w:pPr>
        <w:numPr>
          <w:ilvl w:val="2"/>
          <w:numId w:val="2"/>
        </w:numPr>
        <w:spacing w:after="200"/>
        <w:ind w:left="1843" w:hanging="425"/>
        <w:contextualSpacing/>
        <w:rPr>
          <w:rFonts w:ascii="Arial" w:hAnsi="Arial" w:cs="Arial"/>
          <w:noProof/>
          <w:sz w:val="20"/>
        </w:rPr>
      </w:pPr>
      <w:r>
        <w:rPr>
          <w:rFonts w:ascii="Arial" w:hAnsi="Arial" w:cs="Arial"/>
          <w:noProof/>
          <w:sz w:val="20"/>
        </w:rPr>
        <w:t xml:space="preserve">Directive relating to the making available on the </w:t>
      </w:r>
      <w:r>
        <w:rPr>
          <w:rFonts w:ascii="Arial" w:hAnsi="Arial" w:cs="Arial"/>
          <w:noProof/>
          <w:sz w:val="20"/>
        </w:rPr>
        <w:t>market of radio equipment</w:t>
      </w:r>
      <w:r>
        <w:rPr>
          <w:rStyle w:val="FootnoteReference"/>
          <w:rFonts w:ascii="Arial" w:hAnsi="Arial" w:cs="Arial"/>
          <w:noProof/>
          <w:sz w:val="20"/>
        </w:rPr>
        <w:footnoteReference w:id="175"/>
      </w:r>
      <w:r>
        <w:rPr>
          <w:rFonts w:ascii="Arial" w:hAnsi="Arial" w:cs="Arial"/>
          <w:noProof/>
          <w:sz w:val="20"/>
        </w:rPr>
        <w:t>;</w:t>
      </w:r>
    </w:p>
    <w:p w:rsidR="00E26342" w:rsidRDefault="00040788">
      <w:pPr>
        <w:numPr>
          <w:ilvl w:val="2"/>
          <w:numId w:val="2"/>
        </w:numPr>
        <w:spacing w:after="200"/>
        <w:ind w:left="1843" w:hanging="425"/>
        <w:contextualSpacing/>
        <w:rPr>
          <w:rFonts w:ascii="Arial" w:hAnsi="Arial" w:cs="Arial"/>
          <w:noProof/>
          <w:sz w:val="20"/>
        </w:rPr>
      </w:pPr>
      <w:r>
        <w:rPr>
          <w:rFonts w:ascii="Arial" w:hAnsi="Arial" w:cs="Arial"/>
          <w:noProof/>
          <w:sz w:val="20"/>
        </w:rPr>
        <w:t>Directive on port reception facilities for ship-generated waste and cargo residues</w:t>
      </w:r>
      <w:r>
        <w:rPr>
          <w:rStyle w:val="FootnoteReference"/>
          <w:noProof/>
        </w:rPr>
        <w:footnoteReference w:id="176"/>
      </w:r>
      <w:r>
        <w:rPr>
          <w:rFonts w:ascii="Arial" w:hAnsi="Arial" w:cs="Arial"/>
          <w:noProof/>
          <w:sz w:val="20"/>
        </w:rPr>
        <w:t>;</w:t>
      </w:r>
    </w:p>
    <w:p w:rsidR="00E26342" w:rsidRDefault="00040788">
      <w:pPr>
        <w:numPr>
          <w:ilvl w:val="2"/>
          <w:numId w:val="2"/>
        </w:numPr>
        <w:spacing w:after="0"/>
        <w:ind w:left="1843" w:hanging="425"/>
        <w:contextualSpacing/>
        <w:rPr>
          <w:rFonts w:ascii="Arial" w:hAnsi="Arial" w:cs="Arial"/>
          <w:noProof/>
          <w:sz w:val="20"/>
        </w:rPr>
      </w:pPr>
      <w:r>
        <w:rPr>
          <w:rFonts w:ascii="Arial" w:hAnsi="Arial" w:cs="Arial"/>
          <w:noProof/>
          <w:sz w:val="20"/>
        </w:rPr>
        <w:t>Directive</w:t>
      </w:r>
      <w:r>
        <w:rPr>
          <w:rFonts w:ascii="Arial" w:hAnsi="Arial" w:cs="Arial"/>
          <w:b/>
          <w:noProof/>
          <w:sz w:val="20"/>
        </w:rPr>
        <w:t xml:space="preserve"> </w:t>
      </w:r>
      <w:r>
        <w:rPr>
          <w:rStyle w:val="Strong"/>
          <w:rFonts w:ascii="Arial" w:hAnsi="Arial" w:cs="Arial"/>
          <w:b w:val="0"/>
          <w:noProof/>
          <w:sz w:val="20"/>
        </w:rPr>
        <w:t>relating to the making available on the market of measuring instruments</w:t>
      </w:r>
      <w:r>
        <w:rPr>
          <w:rStyle w:val="FootnoteReference"/>
          <w:rFonts w:ascii="Arial" w:hAnsi="Arial" w:cs="Arial"/>
          <w:bCs/>
          <w:noProof/>
          <w:sz w:val="20"/>
        </w:rPr>
        <w:footnoteReference w:id="177"/>
      </w:r>
      <w:r>
        <w:rPr>
          <w:rStyle w:val="Strong"/>
          <w:rFonts w:ascii="Arial" w:hAnsi="Arial" w:cs="Arial"/>
          <w:b w:val="0"/>
          <w:noProof/>
          <w:sz w:val="20"/>
        </w:rPr>
        <w:t>;</w:t>
      </w:r>
    </w:p>
    <w:p w:rsidR="00E26342" w:rsidRDefault="00040788">
      <w:pPr>
        <w:pStyle w:val="Lijstje2"/>
        <w:spacing w:after="0"/>
        <w:ind w:left="1276" w:hanging="425"/>
        <w:rPr>
          <w:rFonts w:ascii="Arial" w:hAnsi="Arial" w:cs="Arial"/>
          <w:noProof/>
          <w:lang w:val="en-GB"/>
        </w:rPr>
      </w:pPr>
      <w:r>
        <w:rPr>
          <w:rFonts w:ascii="Arial" w:hAnsi="Arial" w:cs="Arial"/>
          <w:noProof/>
          <w:lang w:val="en-GB"/>
        </w:rPr>
        <w:t>incorrect transposition</w:t>
      </w:r>
      <w:r>
        <w:rPr>
          <w:rFonts w:ascii="Arial" w:eastAsia="Times New Roman" w:hAnsi="Arial" w:cs="Arial"/>
          <w:noProof/>
          <w:lang w:val="en-GB"/>
        </w:rPr>
        <w:t xml:space="preserve"> </w:t>
      </w:r>
      <w:r>
        <w:rPr>
          <w:rFonts w:ascii="Arial" w:hAnsi="Arial" w:cs="Arial"/>
          <w:noProof/>
          <w:lang w:val="en-GB"/>
        </w:rPr>
        <w:t>of the Late Payment Directive</w:t>
      </w:r>
      <w:r>
        <w:rPr>
          <w:rStyle w:val="FootnoteReference"/>
          <w:rFonts w:ascii="Arial" w:hAnsi="Arial" w:cs="Arial"/>
          <w:noProof/>
          <w:lang w:val="en-GB"/>
        </w:rPr>
        <w:footnoteReference w:id="178"/>
      </w:r>
      <w:r>
        <w:rPr>
          <w:rFonts w:ascii="Arial" w:hAnsi="Arial" w:cs="Arial"/>
          <w:noProof/>
          <w:lang w:val="en-GB"/>
        </w:rPr>
        <w:t>;</w:t>
      </w:r>
    </w:p>
    <w:p w:rsidR="00E26342" w:rsidRDefault="00040788">
      <w:pPr>
        <w:pStyle w:val="Lijstje2"/>
        <w:spacing w:after="0"/>
        <w:ind w:left="1276" w:hanging="425"/>
        <w:rPr>
          <w:rFonts w:ascii="Arial" w:hAnsi="Arial" w:cs="Arial"/>
          <w:noProof/>
          <w:lang w:val="en-GB"/>
        </w:rPr>
      </w:pPr>
      <w:r>
        <w:rPr>
          <w:rFonts w:ascii="Arial" w:hAnsi="Arial" w:cs="Arial"/>
          <w:noProof/>
          <w:lang w:val="en-GB"/>
        </w:rPr>
        <w:t>fai</w:t>
      </w:r>
      <w:r>
        <w:rPr>
          <w:rFonts w:ascii="Arial" w:hAnsi="Arial" w:cs="Arial"/>
          <w:noProof/>
          <w:lang w:val="en-GB"/>
        </w:rPr>
        <w:t xml:space="preserve">lure to notify a national policy framework under the </w:t>
      </w:r>
      <w:r>
        <w:rPr>
          <w:rFonts w:ascii="Arial" w:hAnsi="Arial" w:cs="Arial"/>
          <w:bCs/>
          <w:noProof/>
          <w:lang w:val="en-GB"/>
        </w:rPr>
        <w:t>Directive</w:t>
      </w:r>
      <w:r>
        <w:rPr>
          <w:rFonts w:ascii="Arial" w:hAnsi="Arial" w:cs="Arial"/>
          <w:noProof/>
          <w:lang w:val="en-GB"/>
        </w:rPr>
        <w:t xml:space="preserve"> on the deployment of alternative fuels</w:t>
      </w:r>
      <w:r>
        <w:rPr>
          <w:rStyle w:val="FootnoteReference"/>
          <w:rFonts w:ascii="Arial" w:hAnsi="Arial" w:cs="Arial"/>
          <w:noProof/>
          <w:lang w:val="en-GB"/>
        </w:rPr>
        <w:footnoteReference w:id="179"/>
      </w:r>
      <w:r>
        <w:rPr>
          <w:rFonts w:ascii="Arial" w:hAnsi="Arial" w:cs="Arial"/>
          <w:noProof/>
          <w:lang w:val="en-GB"/>
        </w:rPr>
        <w:t>.</w:t>
      </w:r>
    </w:p>
    <w:p w:rsidR="00E26342" w:rsidRDefault="00040788">
      <w:pPr>
        <w:numPr>
          <w:ilvl w:val="0"/>
          <w:numId w:val="2"/>
        </w:numPr>
        <w:spacing w:after="0"/>
        <w:ind w:left="1276" w:hanging="425"/>
        <w:rPr>
          <w:rFonts w:ascii="Arial" w:hAnsi="Arial"/>
          <w:noProof/>
          <w:sz w:val="20"/>
        </w:rPr>
      </w:pPr>
      <w:r>
        <w:rPr>
          <w:rFonts w:ascii="Arial" w:hAnsi="Arial" w:cs="Arial"/>
          <w:bCs/>
          <w:iCs/>
          <w:noProof/>
          <w:kern w:val="20"/>
          <w:sz w:val="20"/>
        </w:rPr>
        <w:t>failure to adopt a national programme for spent fuel and radioactive waste management compliant with the requirements of the Radioactive Waste Directive</w:t>
      </w:r>
      <w:r>
        <w:rPr>
          <w:rStyle w:val="FootnoteReference"/>
          <w:rFonts w:ascii="Arial" w:eastAsia="Calibri" w:hAnsi="Arial" w:cs="Arial"/>
          <w:noProof/>
          <w:kern w:val="20"/>
          <w:sz w:val="20"/>
        </w:rPr>
        <w:footnoteReference w:id="180"/>
      </w:r>
      <w:r>
        <w:rPr>
          <w:rFonts w:ascii="Arial" w:hAnsi="Arial" w:cs="Arial"/>
          <w:bCs/>
          <w:iCs/>
          <w:noProof/>
          <w:kern w:val="20"/>
          <w:sz w:val="20"/>
        </w:rPr>
        <w:t>;</w:t>
      </w:r>
    </w:p>
    <w:p w:rsidR="00E26342" w:rsidRDefault="00040788">
      <w:pPr>
        <w:numPr>
          <w:ilvl w:val="0"/>
          <w:numId w:val="2"/>
        </w:numPr>
        <w:ind w:left="1276" w:hanging="425"/>
        <w:rPr>
          <w:rFonts w:ascii="Arial" w:hAnsi="Arial"/>
          <w:noProof/>
          <w:sz w:val="20"/>
        </w:rPr>
      </w:pPr>
      <w:r>
        <w:rPr>
          <w:rFonts w:ascii="Arial" w:hAnsi="Arial" w:cs="Arial"/>
          <w:bCs/>
          <w:iCs/>
          <w:noProof/>
          <w:kern w:val="20"/>
          <w:sz w:val="20"/>
        </w:rPr>
        <w:t xml:space="preserve">for </w:t>
      </w:r>
      <w:r>
        <w:rPr>
          <w:rFonts w:ascii="Arial" w:eastAsia="Calibri" w:hAnsi="Arial" w:cs="Arial"/>
          <w:noProof/>
          <w:kern w:val="20"/>
          <w:sz w:val="20"/>
        </w:rPr>
        <w:t>incomplete transposition of the Directive on radioactive substances in water intended for human consumption</w:t>
      </w:r>
      <w:r>
        <w:rPr>
          <w:rStyle w:val="FootnoteReference"/>
          <w:rFonts w:ascii="Arial" w:eastAsia="Calibri" w:hAnsi="Arial" w:cs="Arial"/>
          <w:noProof/>
          <w:kern w:val="20"/>
          <w:sz w:val="20"/>
        </w:rPr>
        <w:footnoteReference w:id="181"/>
      </w:r>
      <w:r>
        <w:rPr>
          <w:rFonts w:ascii="Arial" w:eastAsia="Calibri" w:hAnsi="Arial" w:cs="Arial"/>
          <w:noProof/>
          <w:kern w:val="20"/>
          <w:sz w:val="20"/>
        </w:rPr>
        <w:t>.</w:t>
      </w:r>
    </w:p>
    <w:p w:rsidR="00E26342" w:rsidRDefault="00040788">
      <w:pPr>
        <w:pStyle w:val="AnnualReport1"/>
        <w:spacing w:after="240"/>
        <w:ind w:left="709" w:hanging="425"/>
        <w:rPr>
          <w:noProof/>
        </w:rPr>
      </w:pPr>
      <w:r>
        <w:rPr>
          <w:noProof/>
        </w:rPr>
        <w:t>IMPORTANT JUDGMENTS</w:t>
      </w:r>
    </w:p>
    <w:p w:rsidR="00E26342" w:rsidRDefault="00040788">
      <w:pPr>
        <w:pStyle w:val="AnnualReport2"/>
        <w:numPr>
          <w:ilvl w:val="0"/>
          <w:numId w:val="81"/>
        </w:numPr>
        <w:ind w:left="709" w:hanging="425"/>
        <w:rPr>
          <w:noProof/>
        </w:rPr>
      </w:pPr>
      <w:r>
        <w:rPr>
          <w:noProof/>
        </w:rPr>
        <w:t>Court rulings</w:t>
      </w:r>
      <w:r>
        <w:rPr>
          <w:rStyle w:val="FootnoteReference"/>
          <w:noProof/>
        </w:rPr>
        <w:footnoteReference w:id="182"/>
      </w:r>
    </w:p>
    <w:p w:rsidR="00E26342" w:rsidRDefault="00040788">
      <w:pPr>
        <w:pStyle w:val="Body"/>
        <w:rPr>
          <w:noProof/>
          <w:lang w:val="en-GB"/>
        </w:rPr>
      </w:pPr>
      <w:r>
        <w:rPr>
          <w:noProof/>
          <w:lang w:val="en-GB"/>
        </w:rPr>
        <w:t>The Court gave the following rulings.</w:t>
      </w:r>
    </w:p>
    <w:p w:rsidR="00E26342" w:rsidRDefault="00040788">
      <w:pPr>
        <w:pStyle w:val="Lijstje2"/>
        <w:ind w:left="1276" w:hanging="425"/>
        <w:rPr>
          <w:rFonts w:ascii="Arial" w:hAnsi="Arial" w:cs="Arial"/>
          <w:noProof/>
          <w:lang w:val="en-GB"/>
        </w:rPr>
      </w:pPr>
      <w:r>
        <w:rPr>
          <w:rFonts w:ascii="Arial" w:hAnsi="Arial" w:cs="Arial"/>
          <w:noProof/>
          <w:lang w:val="en-GB"/>
        </w:rPr>
        <w:t>Portugal</w:t>
      </w:r>
      <w:r>
        <w:rPr>
          <w:rFonts w:ascii="Arial" w:hAnsi="Arial" w:cs="Arial"/>
          <w:i/>
          <w:noProof/>
          <w:lang w:val="en-GB"/>
        </w:rPr>
        <w:t xml:space="preserve"> </w:t>
      </w:r>
      <w:r>
        <w:rPr>
          <w:rFonts w:ascii="Arial" w:hAnsi="Arial" w:cs="Arial"/>
          <w:noProof/>
          <w:lang w:val="en-GB"/>
        </w:rPr>
        <w:t>failed to fulfil its obligations under the Directive on d</w:t>
      </w:r>
      <w:r>
        <w:rPr>
          <w:rFonts w:ascii="Arial" w:hAnsi="Arial" w:cs="Arial"/>
          <w:noProof/>
          <w:lang w:val="en-GB"/>
        </w:rPr>
        <w:t>riving licences as it failed to connect to the ‘Resper’ network</w:t>
      </w:r>
      <w:r>
        <w:rPr>
          <w:rStyle w:val="FootnoteReference"/>
          <w:rFonts w:ascii="Arial" w:hAnsi="Arial" w:cs="Arial"/>
          <w:noProof/>
          <w:lang w:val="en-GB"/>
        </w:rPr>
        <w:footnoteReference w:id="183"/>
      </w:r>
      <w:r>
        <w:rPr>
          <w:rFonts w:ascii="Arial" w:hAnsi="Arial" w:cs="Arial"/>
          <w:noProof/>
          <w:lang w:val="en-GB"/>
        </w:rPr>
        <w:t>.</w:t>
      </w:r>
    </w:p>
    <w:p w:rsidR="00E26342" w:rsidRDefault="00040788">
      <w:pPr>
        <w:pStyle w:val="Lijstje2"/>
        <w:ind w:left="1276" w:hanging="425"/>
        <w:rPr>
          <w:rFonts w:ascii="Arial" w:hAnsi="Arial" w:cs="Arial"/>
          <w:noProof/>
          <w:lang w:val="en-GB"/>
        </w:rPr>
      </w:pPr>
      <w:r>
        <w:rPr>
          <w:rFonts w:ascii="Arial" w:hAnsi="Arial" w:cs="Arial"/>
          <w:noProof/>
          <w:lang w:val="en-GB"/>
        </w:rPr>
        <w:t>National rules provided that cigarettes released for consumption in a given year may no longer be marketed or sold to the public after the expiry of a three-month time limit starting from th</w:t>
      </w:r>
      <w:r>
        <w:rPr>
          <w:rFonts w:ascii="Arial" w:hAnsi="Arial" w:cs="Arial"/>
          <w:noProof/>
          <w:lang w:val="en-GB"/>
        </w:rPr>
        <w:t>e first day of the following year, even where there is no increase in the excise duty in that following year</w:t>
      </w:r>
      <w:r>
        <w:rPr>
          <w:rStyle w:val="FootnoteReference"/>
          <w:rFonts w:ascii="Arial" w:hAnsi="Arial" w:cs="Arial"/>
          <w:noProof/>
          <w:lang w:val="en-GB"/>
        </w:rPr>
        <w:footnoteReference w:id="184"/>
      </w:r>
      <w:r>
        <w:rPr>
          <w:rFonts w:ascii="Arial" w:hAnsi="Arial" w:cs="Arial"/>
          <w:noProof/>
          <w:lang w:val="en-GB"/>
        </w:rPr>
        <w:t>. These rules were not in line with the Excise Duty Directive</w:t>
      </w:r>
      <w:r>
        <w:rPr>
          <w:rStyle w:val="FootnoteReference"/>
          <w:rFonts w:ascii="Arial" w:hAnsi="Arial" w:cs="Arial"/>
          <w:noProof/>
          <w:lang w:val="en-GB"/>
        </w:rPr>
        <w:footnoteReference w:id="185"/>
      </w:r>
      <w:r>
        <w:rPr>
          <w:rFonts w:ascii="Arial" w:hAnsi="Arial" w:cs="Arial"/>
          <w:noProof/>
          <w:lang w:val="en-GB"/>
        </w:rPr>
        <w:t xml:space="preserve"> and the principle of proportionality.</w:t>
      </w:r>
    </w:p>
    <w:p w:rsidR="00E26342" w:rsidRDefault="00040788">
      <w:pPr>
        <w:pStyle w:val="AnnualReport2"/>
        <w:numPr>
          <w:ilvl w:val="0"/>
          <w:numId w:val="63"/>
        </w:numPr>
        <w:ind w:left="709" w:hanging="425"/>
        <w:rPr>
          <w:noProof/>
        </w:rPr>
      </w:pPr>
      <w:r>
        <w:rPr>
          <w:noProof/>
        </w:rPr>
        <w:t>Preliminary rulings</w:t>
      </w:r>
    </w:p>
    <w:p w:rsidR="00E26342" w:rsidRDefault="00040788">
      <w:pPr>
        <w:pStyle w:val="Body"/>
        <w:ind w:left="709" w:firstLine="11"/>
        <w:rPr>
          <w:noProof/>
          <w:lang w:val="en-GB"/>
        </w:rPr>
      </w:pPr>
      <w:r>
        <w:rPr>
          <w:noProof/>
          <w:lang w:val="en-GB"/>
        </w:rPr>
        <w:t xml:space="preserve">The Court addressed the following preliminary rulings to the Portuguese judiciary. </w:t>
      </w:r>
    </w:p>
    <w:p w:rsidR="00E26342" w:rsidRDefault="00040788">
      <w:pPr>
        <w:pStyle w:val="Lijstje2"/>
        <w:ind w:left="1276" w:hanging="425"/>
        <w:rPr>
          <w:rFonts w:ascii="Arial" w:hAnsi="Arial"/>
          <w:noProof/>
          <w:lang w:val="en-GB"/>
        </w:rPr>
      </w:pPr>
      <w:r>
        <w:rPr>
          <w:rFonts w:ascii="Arial" w:hAnsi="Arial"/>
          <w:noProof/>
          <w:lang w:val="en-GB"/>
        </w:rPr>
        <w:t xml:space="preserve">For an intra-Community supply transaction to benefit from the VAT exemption set out in the VAT Directive, the purchaser should neither have to acquire a VAT identification number valid for the purpose of carrying out intra-Community transactions nor </w:t>
      </w:r>
      <w:r>
        <w:rPr>
          <w:rFonts w:ascii="Arial" w:hAnsi="Arial" w:cs="Arial"/>
          <w:iCs/>
          <w:noProof/>
          <w:lang w:val="en-GB"/>
        </w:rPr>
        <w:t>includ</w:t>
      </w:r>
      <w:r>
        <w:rPr>
          <w:rFonts w:ascii="Arial" w:hAnsi="Arial" w:cs="Arial"/>
          <w:iCs/>
          <w:noProof/>
          <w:lang w:val="en-GB"/>
        </w:rPr>
        <w:t>e</w:t>
      </w:r>
      <w:r>
        <w:rPr>
          <w:rFonts w:ascii="Arial" w:hAnsi="Arial"/>
          <w:noProof/>
          <w:lang w:val="en-GB"/>
        </w:rPr>
        <w:t xml:space="preserve"> that number in the VIES system. These are merely formal requirements which cannot undermine the vendor’s right to be exempt from VAT where the substantive conditions are satisfied</w:t>
      </w:r>
      <w:r>
        <w:rPr>
          <w:rStyle w:val="FootnoteReference"/>
          <w:rFonts w:ascii="Arial" w:hAnsi="Arial" w:cs="Arial"/>
          <w:noProof/>
          <w:lang w:val="en-GB"/>
        </w:rPr>
        <w:footnoteReference w:id="186"/>
      </w:r>
      <w:r>
        <w:rPr>
          <w:rFonts w:ascii="Arial" w:hAnsi="Arial" w:cs="Arial"/>
          <w:noProof/>
          <w:lang w:val="en-GB"/>
        </w:rPr>
        <w:t>.</w:t>
      </w:r>
    </w:p>
    <w:p w:rsidR="00E26342" w:rsidRDefault="00040788">
      <w:pPr>
        <w:pStyle w:val="Lijstje2"/>
        <w:ind w:left="1276" w:hanging="425"/>
        <w:rPr>
          <w:rFonts w:ascii="Arial" w:hAnsi="Arial" w:cs="Arial"/>
          <w:i/>
          <w:noProof/>
          <w:lang w:val="en-GB"/>
        </w:rPr>
      </w:pPr>
      <w:r>
        <w:rPr>
          <w:rFonts w:ascii="Arial" w:hAnsi="Arial" w:cs="Arial"/>
          <w:noProof/>
          <w:lang w:val="en-GB"/>
        </w:rPr>
        <w:t xml:space="preserve">EU law does not require the minimum uninterrupted weekly rest period to </w:t>
      </w:r>
      <w:r>
        <w:rPr>
          <w:rFonts w:ascii="Arial" w:hAnsi="Arial" w:cs="Arial"/>
          <w:noProof/>
          <w:lang w:val="en-GB"/>
        </w:rPr>
        <w:t>be provided no later than the day following a period of 6 consecutive working days, but requires it to be provided within each seven-day period</w:t>
      </w:r>
      <w:r>
        <w:rPr>
          <w:rStyle w:val="FootnoteReference"/>
          <w:rFonts w:ascii="Arial" w:hAnsi="Arial" w:cs="Arial"/>
          <w:noProof/>
          <w:lang w:val="en-GB"/>
        </w:rPr>
        <w:footnoteReference w:id="187"/>
      </w:r>
      <w:r>
        <w:rPr>
          <w:rFonts w:ascii="Arial" w:hAnsi="Arial" w:cs="Arial"/>
          <w:noProof/>
          <w:lang w:val="en-GB"/>
        </w:rPr>
        <w:t>.</w:t>
      </w:r>
    </w:p>
    <w:p w:rsidR="00E26342" w:rsidRDefault="00E26342">
      <w:pPr>
        <w:pStyle w:val="Lijstje2"/>
        <w:numPr>
          <w:ilvl w:val="0"/>
          <w:numId w:val="0"/>
        </w:numPr>
        <w:ind w:left="1058"/>
        <w:rPr>
          <w:rFonts w:ascii="Arial" w:hAnsi="Arial" w:cs="Arial"/>
          <w:i/>
          <w:noProof/>
          <w:lang w:val="en-GB"/>
        </w:rPr>
      </w:pPr>
    </w:p>
    <w:p w:rsidR="00E26342" w:rsidRDefault="00E26342">
      <w:pPr>
        <w:spacing w:after="120"/>
        <w:ind w:firstLine="709"/>
        <w:jc w:val="left"/>
        <w:rPr>
          <w:rFonts w:ascii="Arial" w:hAnsi="Arial" w:cs="Arial"/>
          <w:noProof/>
          <w:sz w:val="20"/>
        </w:rPr>
        <w:sectPr w:rsidR="00E26342">
          <w:headerReference w:type="even" r:id="rId132"/>
          <w:headerReference w:type="default" r:id="rId133"/>
          <w:footerReference w:type="even" r:id="rId134"/>
          <w:footerReference w:type="default" r:id="rId135"/>
          <w:headerReference w:type="first" r:id="rId136"/>
          <w:footerReference w:type="first" r:id="rId137"/>
          <w:footnotePr>
            <w:numRestart w:val="eachSect"/>
          </w:footnotePr>
          <w:pgSz w:w="11906" w:h="16838"/>
          <w:pgMar w:top="1809" w:right="1417" w:bottom="1134" w:left="1417" w:header="567" w:footer="351" w:gutter="0"/>
          <w:cols w:space="708"/>
          <w:titlePg/>
          <w:docGrid w:linePitch="360"/>
        </w:sectPr>
      </w:pPr>
    </w:p>
    <w:p w:rsidR="00E26342" w:rsidRDefault="00040788">
      <w:pPr>
        <w:pStyle w:val="Heading1"/>
        <w:rPr>
          <w:noProof/>
        </w:rPr>
      </w:pPr>
      <w:bookmarkStart w:id="38" w:name="_Toc475974660"/>
      <w:bookmarkStart w:id="39" w:name="_Toc475980156"/>
      <w:bookmarkStart w:id="40" w:name="_Toc475981405"/>
      <w:bookmarkStart w:id="41" w:name="_Toc484622339"/>
      <w:bookmarkStart w:id="42" w:name="_Toc510015288"/>
      <w:r>
        <w:rPr>
          <w:noProof/>
        </w:rPr>
        <w:t>Romania</w:t>
      </w:r>
      <w:bookmarkEnd w:id="38"/>
      <w:bookmarkEnd w:id="39"/>
      <w:bookmarkEnd w:id="40"/>
      <w:bookmarkEnd w:id="41"/>
      <w:bookmarkEnd w:id="42"/>
    </w:p>
    <w:p w:rsidR="00E26342" w:rsidRDefault="00040788">
      <w:pPr>
        <w:pStyle w:val="kop2"/>
        <w:numPr>
          <w:ilvl w:val="0"/>
          <w:numId w:val="40"/>
        </w:numPr>
        <w:spacing w:before="360" w:after="240"/>
        <w:ind w:left="709" w:hanging="425"/>
        <w:rPr>
          <w:noProof/>
        </w:rPr>
      </w:pPr>
      <w:r>
        <w:rPr>
          <w:noProof/>
        </w:rPr>
        <w:t>COMPLAINTS</w:t>
      </w:r>
    </w:p>
    <w:p w:rsidR="00E26342" w:rsidRDefault="00040788">
      <w:pPr>
        <w:pStyle w:val="AnnualReport2"/>
        <w:numPr>
          <w:ilvl w:val="0"/>
          <w:numId w:val="75"/>
        </w:numPr>
        <w:ind w:left="709" w:hanging="425"/>
        <w:rPr>
          <w:noProof/>
        </w:rPr>
      </w:pPr>
      <w:r>
        <w:rPr>
          <w:noProof/>
        </w:rPr>
        <w:t>New complaints made against Romania by members of the public (2013-2017)</w:t>
      </w:r>
    </w:p>
    <w:p w:rsidR="00E26342" w:rsidRDefault="00040788">
      <w:pPr>
        <w:ind w:firstLine="709"/>
        <w:rPr>
          <w:rFonts w:ascii="Arial" w:hAnsi="Arial" w:cs="Arial"/>
          <w:noProof/>
          <w:sz w:val="20"/>
        </w:rPr>
      </w:pPr>
      <w:r>
        <w:rPr>
          <w:rFonts w:ascii="Arial" w:hAnsi="Arial" w:cs="Arial"/>
          <w:noProof/>
          <w:sz w:val="20"/>
          <w:lang w:eastAsia="en-GB"/>
        </w:rPr>
        <w:drawing>
          <wp:inline distT="0" distB="0" distL="0" distR="0" wp14:anchorId="4FA32402" wp14:editId="40A935D8">
            <wp:extent cx="4612005" cy="2234565"/>
            <wp:effectExtent l="0" t="0" r="0" b="0"/>
            <wp:docPr id="244"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rsidR="00E26342" w:rsidRDefault="00040788">
      <w:pPr>
        <w:pStyle w:val="AnnualReport2"/>
        <w:numPr>
          <w:ilvl w:val="0"/>
          <w:numId w:val="63"/>
        </w:numPr>
        <w:ind w:left="709" w:hanging="425"/>
        <w:rPr>
          <w:noProof/>
        </w:rPr>
      </w:pPr>
      <w:r>
        <w:rPr>
          <w:noProof/>
        </w:rPr>
        <w:t xml:space="preserve">Public complaints </w:t>
      </w:r>
      <w:r>
        <w:rPr>
          <w:noProof/>
        </w:rPr>
        <w:t>against Romania open at year-end</w:t>
      </w:r>
    </w:p>
    <w:tbl>
      <w:tblPr>
        <w:tblW w:w="0" w:type="auto"/>
        <w:jc w:val="center"/>
        <w:tblLook w:val="04A0" w:firstRow="1" w:lastRow="0" w:firstColumn="1" w:lastColumn="0" w:noHBand="0" w:noVBand="1"/>
      </w:tblPr>
      <w:tblGrid>
        <w:gridCol w:w="1697"/>
        <w:gridCol w:w="452"/>
        <w:gridCol w:w="5310"/>
      </w:tblGrid>
      <w:tr w:rsidR="00E26342">
        <w:trPr>
          <w:trHeight w:val="403"/>
          <w:jc w:val="center"/>
        </w:trPr>
        <w:tc>
          <w:tcPr>
            <w:tcW w:w="1697" w:type="dxa"/>
            <w:shd w:val="clear" w:color="auto" w:fill="auto"/>
            <w:vAlign w:val="center"/>
          </w:tcPr>
          <w:p w:rsidR="00E26342" w:rsidRDefault="00040788">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114</w:t>
            </w:r>
          </w:p>
        </w:tc>
        <w:tc>
          <w:tcPr>
            <w:tcW w:w="452" w:type="dxa"/>
            <w:shd w:val="clear" w:color="auto" w:fill="auto"/>
            <w:vAlign w:val="center"/>
          </w:tcPr>
          <w:p w:rsidR="00E26342" w:rsidRDefault="00040788">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E26342" w:rsidRDefault="00040788">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Complaints open at end-2016</w:t>
            </w:r>
          </w:p>
        </w:tc>
      </w:tr>
      <w:tr w:rsidR="00E26342">
        <w:trPr>
          <w:trHeight w:val="403"/>
          <w:jc w:val="center"/>
        </w:trPr>
        <w:tc>
          <w:tcPr>
            <w:tcW w:w="1697" w:type="dxa"/>
            <w:shd w:val="clear" w:color="auto" w:fill="auto"/>
            <w:vAlign w:val="center"/>
          </w:tcPr>
          <w:p w:rsidR="00E26342" w:rsidRDefault="00040788">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162</w:t>
            </w:r>
          </w:p>
        </w:tc>
        <w:tc>
          <w:tcPr>
            <w:tcW w:w="452" w:type="dxa"/>
            <w:shd w:val="clear" w:color="auto" w:fill="auto"/>
            <w:vAlign w:val="center"/>
          </w:tcPr>
          <w:p w:rsidR="00E26342" w:rsidRDefault="00040788">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E26342" w:rsidRDefault="00040788">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New complaints registered in 2017</w:t>
            </w:r>
          </w:p>
        </w:tc>
      </w:tr>
      <w:tr w:rsidR="00E26342">
        <w:trPr>
          <w:trHeight w:val="403"/>
          <w:jc w:val="center"/>
        </w:trPr>
        <w:tc>
          <w:tcPr>
            <w:tcW w:w="1697" w:type="dxa"/>
            <w:tcBorders>
              <w:bottom w:val="single" w:sz="24" w:space="0" w:color="548DD4"/>
            </w:tcBorders>
            <w:shd w:val="clear" w:color="auto" w:fill="auto"/>
            <w:vAlign w:val="center"/>
          </w:tcPr>
          <w:p w:rsidR="00E26342" w:rsidRDefault="00040788">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162</w:t>
            </w:r>
          </w:p>
        </w:tc>
        <w:tc>
          <w:tcPr>
            <w:tcW w:w="452" w:type="dxa"/>
            <w:shd w:val="clear" w:color="auto" w:fill="auto"/>
            <w:vAlign w:val="center"/>
          </w:tcPr>
          <w:p w:rsidR="00E26342" w:rsidRDefault="00040788">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E26342" w:rsidRDefault="00040788">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Complaints handled in 2017</w:t>
            </w:r>
          </w:p>
        </w:tc>
      </w:tr>
      <w:tr w:rsidR="00E26342">
        <w:trPr>
          <w:trHeight w:val="403"/>
          <w:jc w:val="center"/>
        </w:trPr>
        <w:tc>
          <w:tcPr>
            <w:tcW w:w="1697" w:type="dxa"/>
            <w:tcBorders>
              <w:top w:val="single" w:sz="24" w:space="0" w:color="548DD4"/>
            </w:tcBorders>
            <w:shd w:val="clear" w:color="auto" w:fill="auto"/>
            <w:vAlign w:val="center"/>
          </w:tcPr>
          <w:p w:rsidR="00E26342" w:rsidRDefault="00040788">
            <w:pPr>
              <w:spacing w:after="0"/>
              <w:jc w:val="right"/>
              <w:rPr>
                <w:rFonts w:ascii="Arial" w:hAnsi="Arial" w:cs="Arial"/>
                <w:noProof/>
                <w:color w:val="C00000"/>
                <w:sz w:val="22"/>
                <w:szCs w:val="28"/>
                <w:lang w:eastAsia="en-GB"/>
              </w:rPr>
            </w:pPr>
            <w:r>
              <w:rPr>
                <w:rFonts w:ascii="Arial" w:hAnsi="Arial" w:cs="Arial"/>
                <w:noProof/>
                <w:color w:val="C00000"/>
                <w:sz w:val="22"/>
                <w:szCs w:val="28"/>
                <w:lang w:eastAsia="en-GB"/>
              </w:rPr>
              <w:t>= 114</w:t>
            </w:r>
          </w:p>
        </w:tc>
        <w:tc>
          <w:tcPr>
            <w:tcW w:w="452" w:type="dxa"/>
            <w:shd w:val="clear" w:color="auto" w:fill="auto"/>
            <w:vAlign w:val="center"/>
          </w:tcPr>
          <w:p w:rsidR="00E26342" w:rsidRDefault="00040788">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E26342" w:rsidRDefault="00040788">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Complaints open at end-2017</w:t>
            </w:r>
          </w:p>
        </w:tc>
      </w:tr>
    </w:tbl>
    <w:p w:rsidR="00E26342" w:rsidRDefault="00040788">
      <w:pPr>
        <w:pStyle w:val="AnnualReport2"/>
        <w:numPr>
          <w:ilvl w:val="0"/>
          <w:numId w:val="63"/>
        </w:numPr>
        <w:ind w:left="782" w:hanging="357"/>
        <w:rPr>
          <w:noProof/>
        </w:rPr>
      </w:pPr>
      <w:r>
        <w:rPr>
          <w:noProof/>
        </w:rPr>
        <w:t>New complaints registered in 2017: main policy areas</w:t>
      </w:r>
    </w:p>
    <w:p w:rsidR="00E26342" w:rsidRDefault="00040788">
      <w:pPr>
        <w:spacing w:before="360"/>
        <w:ind w:firstLine="709"/>
        <w:rPr>
          <w:rFonts w:ascii="Arial" w:hAnsi="Arial" w:cs="Arial"/>
          <w:noProof/>
          <w:sz w:val="20"/>
        </w:rPr>
      </w:pPr>
      <w:r>
        <w:rPr>
          <w:rFonts w:ascii="Arial" w:hAnsi="Arial" w:cs="Arial"/>
          <w:noProof/>
          <w:sz w:val="20"/>
          <w:lang w:eastAsia="en-GB"/>
        </w:rPr>
        <w:drawing>
          <wp:inline distT="0" distB="0" distL="0" distR="0" wp14:anchorId="3683867F" wp14:editId="6ECB869B">
            <wp:extent cx="4627880" cy="2321560"/>
            <wp:effectExtent l="0" t="0" r="20320" b="21590"/>
            <wp:docPr id="245" name="Grafiek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rsidR="00E26342" w:rsidRDefault="00040788">
      <w:pPr>
        <w:spacing w:after="200" w:line="276" w:lineRule="auto"/>
        <w:jc w:val="left"/>
        <w:rPr>
          <w:rFonts w:ascii="Arial" w:hAnsi="Arial" w:cs="Arial"/>
          <w:noProof/>
          <w:sz w:val="20"/>
        </w:rPr>
      </w:pPr>
      <w:r>
        <w:rPr>
          <w:noProof/>
        </w:rPr>
        <w:br w:type="page"/>
      </w:r>
    </w:p>
    <w:p w:rsidR="00E26342" w:rsidRDefault="00040788">
      <w:pPr>
        <w:pStyle w:val="AnnualReport1"/>
        <w:spacing w:after="240"/>
        <w:ind w:left="709" w:hanging="425"/>
        <w:rPr>
          <w:noProof/>
        </w:rPr>
      </w:pPr>
      <w:r>
        <w:rPr>
          <w:noProof/>
        </w:rPr>
        <w:t>EU PILOT</w:t>
      </w:r>
    </w:p>
    <w:p w:rsidR="00E26342" w:rsidRDefault="00040788">
      <w:pPr>
        <w:pStyle w:val="AnnualReport2"/>
        <w:numPr>
          <w:ilvl w:val="0"/>
          <w:numId w:val="76"/>
        </w:numPr>
        <w:ind w:left="709" w:hanging="425"/>
        <w:rPr>
          <w:noProof/>
        </w:rPr>
      </w:pPr>
      <w:r>
        <w:rPr>
          <w:noProof/>
        </w:rPr>
        <w:t xml:space="preserve">New EU </w:t>
      </w:r>
      <w:r>
        <w:rPr>
          <w:noProof/>
        </w:rPr>
        <w:t>Pilot files opened against Romania (2013-2017)</w:t>
      </w:r>
    </w:p>
    <w:p w:rsidR="00E26342" w:rsidRDefault="00040788">
      <w:pPr>
        <w:tabs>
          <w:tab w:val="left" w:pos="0"/>
        </w:tabs>
        <w:spacing w:before="360"/>
        <w:ind w:firstLine="709"/>
        <w:rPr>
          <w:rFonts w:ascii="Arial" w:hAnsi="Arial" w:cs="Arial"/>
          <w:noProof/>
          <w:sz w:val="20"/>
        </w:rPr>
      </w:pPr>
      <w:r>
        <w:rPr>
          <w:rFonts w:ascii="Arial" w:hAnsi="Arial" w:cs="Arial"/>
          <w:noProof/>
          <w:sz w:val="20"/>
          <w:lang w:eastAsia="en-GB"/>
        </w:rPr>
        <w:drawing>
          <wp:inline distT="0" distB="0" distL="0" distR="0" wp14:anchorId="10F7EBA9" wp14:editId="121875E8">
            <wp:extent cx="4603750" cy="2250440"/>
            <wp:effectExtent l="0" t="0" r="0" b="0"/>
            <wp:docPr id="246"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rsidR="00E26342" w:rsidRDefault="00040788">
      <w:pPr>
        <w:pStyle w:val="AnnualReport2"/>
        <w:numPr>
          <w:ilvl w:val="0"/>
          <w:numId w:val="63"/>
        </w:numPr>
        <w:ind w:left="709" w:hanging="425"/>
        <w:rPr>
          <w:noProof/>
        </w:rPr>
      </w:pPr>
      <w:r>
        <w:rPr>
          <w:noProof/>
        </w:rPr>
        <w:t>Files relating to Romania open in EU Pilot at year-end</w:t>
      </w:r>
    </w:p>
    <w:p w:rsidR="00E26342" w:rsidRDefault="00040788">
      <w:pPr>
        <w:spacing w:after="120"/>
        <w:ind w:firstLine="709"/>
        <w:rPr>
          <w:rFonts w:ascii="Arial" w:hAnsi="Arial" w:cs="Arial"/>
          <w:noProof/>
          <w:sz w:val="20"/>
        </w:rPr>
      </w:pPr>
      <w:r>
        <w:rPr>
          <w:rFonts w:ascii="Arial" w:hAnsi="Arial" w:cs="Arial"/>
          <w:noProof/>
          <w:sz w:val="20"/>
          <w:lang w:eastAsia="en-GB"/>
        </w:rPr>
        <w:drawing>
          <wp:inline distT="0" distB="0" distL="0" distR="0" wp14:anchorId="4F701202" wp14:editId="196FB091">
            <wp:extent cx="4603750" cy="2250440"/>
            <wp:effectExtent l="0" t="0" r="0" b="0"/>
            <wp:docPr id="247"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rsidR="00E26342" w:rsidRDefault="00040788">
      <w:pPr>
        <w:pStyle w:val="AnnualReport2"/>
        <w:numPr>
          <w:ilvl w:val="0"/>
          <w:numId w:val="63"/>
        </w:numPr>
        <w:ind w:left="851" w:hanging="567"/>
        <w:rPr>
          <w:noProof/>
        </w:rPr>
      </w:pPr>
      <w:r>
        <w:rPr>
          <w:noProof/>
        </w:rPr>
        <w:t>New EU Pilot files opened in 2017: policy areas</w:t>
      </w:r>
    </w:p>
    <w:p w:rsidR="00E26342" w:rsidRDefault="00040788">
      <w:pPr>
        <w:spacing w:after="200" w:line="276" w:lineRule="auto"/>
        <w:ind w:firstLine="709"/>
        <w:jc w:val="left"/>
        <w:rPr>
          <w:noProof/>
        </w:rPr>
      </w:pPr>
      <w:r>
        <w:rPr>
          <w:noProof/>
          <w:lang w:eastAsia="en-GB"/>
        </w:rPr>
        <w:drawing>
          <wp:inline distT="0" distB="0" distL="0" distR="0" wp14:anchorId="6CD57C58" wp14:editId="55103BB8">
            <wp:extent cx="4643755" cy="2440940"/>
            <wp:effectExtent l="0" t="0" r="23495" b="16510"/>
            <wp:docPr id="248" name="Grafiek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rsidR="00E26342" w:rsidRDefault="00040788">
      <w:pPr>
        <w:pStyle w:val="AnnualReport2"/>
        <w:numPr>
          <w:ilvl w:val="0"/>
          <w:numId w:val="63"/>
        </w:numPr>
        <w:ind w:left="851" w:hanging="567"/>
        <w:rPr>
          <w:noProof/>
        </w:rPr>
      </w:pPr>
      <w:r>
        <w:rPr>
          <w:noProof/>
        </w:rPr>
        <w:t>EU Pilot files: Romania’s resolution rate in 2013-2017</w:t>
      </w:r>
    </w:p>
    <w:p w:rsidR="00E26342" w:rsidRDefault="00040788">
      <w:pPr>
        <w:spacing w:before="360"/>
        <w:ind w:firstLine="709"/>
        <w:rPr>
          <w:rFonts w:ascii="Arial" w:hAnsi="Arial" w:cs="Arial"/>
          <w:noProof/>
          <w:sz w:val="20"/>
        </w:rPr>
      </w:pPr>
      <w:r>
        <w:rPr>
          <w:rFonts w:ascii="Arial" w:hAnsi="Arial" w:cs="Arial"/>
          <w:noProof/>
          <w:sz w:val="20"/>
          <w:lang w:eastAsia="en-GB"/>
        </w:rPr>
        <w:drawing>
          <wp:inline distT="0" distB="0" distL="0" distR="0" wp14:anchorId="6ACFF681" wp14:editId="4730ABF3">
            <wp:extent cx="4596130" cy="2194560"/>
            <wp:effectExtent l="0" t="0" r="13970" b="15240"/>
            <wp:docPr id="249"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rsidR="00E26342" w:rsidRDefault="00040788">
      <w:pPr>
        <w:pStyle w:val="AnnualReport1"/>
        <w:spacing w:after="240"/>
        <w:ind w:left="709" w:hanging="425"/>
        <w:rPr>
          <w:noProof/>
        </w:rPr>
      </w:pPr>
      <w:r>
        <w:rPr>
          <w:noProof/>
        </w:rPr>
        <w:t>INFRINGEMENT CASES</w:t>
      </w:r>
    </w:p>
    <w:p w:rsidR="00E26342" w:rsidRDefault="00040788">
      <w:pPr>
        <w:pStyle w:val="AnnualReport2"/>
        <w:numPr>
          <w:ilvl w:val="0"/>
          <w:numId w:val="77"/>
        </w:numPr>
        <w:ind w:left="709" w:hanging="425"/>
        <w:rPr>
          <w:noProof/>
        </w:rPr>
      </w:pPr>
      <w:r>
        <w:rPr>
          <w:noProof/>
        </w:rPr>
        <w:t xml:space="preserve">Infringement cases </w:t>
      </w:r>
      <w:r>
        <w:rPr>
          <w:noProof/>
        </w:rPr>
        <w:t>against Romania open on 31 December (2013-2017)</w:t>
      </w:r>
    </w:p>
    <w:p w:rsidR="00E26342" w:rsidRDefault="00040788">
      <w:pPr>
        <w:spacing w:before="360"/>
        <w:ind w:firstLine="709"/>
        <w:rPr>
          <w:rFonts w:ascii="Arial" w:hAnsi="Arial"/>
          <w:noProof/>
          <w:sz w:val="20"/>
        </w:rPr>
      </w:pPr>
      <w:r>
        <w:rPr>
          <w:rFonts w:ascii="Arial" w:hAnsi="Arial" w:cs="Arial"/>
          <w:noProof/>
          <w:sz w:val="20"/>
          <w:lang w:eastAsia="en-GB"/>
        </w:rPr>
        <w:drawing>
          <wp:inline distT="0" distB="0" distL="0" distR="0" wp14:anchorId="31415123" wp14:editId="31D2669C">
            <wp:extent cx="4617720" cy="2186940"/>
            <wp:effectExtent l="0" t="0" r="11430" b="22860"/>
            <wp:docPr id="250" name="Grafiek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rsidR="00E26342" w:rsidRDefault="00040788">
      <w:pPr>
        <w:pStyle w:val="AnnualReport2"/>
        <w:numPr>
          <w:ilvl w:val="0"/>
          <w:numId w:val="63"/>
        </w:numPr>
        <w:ind w:left="709" w:hanging="425"/>
        <w:rPr>
          <w:noProof/>
        </w:rPr>
      </w:pPr>
      <w:r>
        <w:rPr>
          <w:noProof/>
        </w:rPr>
        <w:t>New infringement cases opened in 2017: main policy areas</w:t>
      </w:r>
    </w:p>
    <w:p w:rsidR="00E26342" w:rsidRDefault="00040788">
      <w:pPr>
        <w:spacing w:before="360"/>
        <w:ind w:firstLine="709"/>
        <w:rPr>
          <w:rFonts w:ascii="Arial" w:hAnsi="Arial" w:cs="Arial"/>
          <w:noProof/>
          <w:sz w:val="20"/>
        </w:rPr>
      </w:pPr>
      <w:r>
        <w:rPr>
          <w:rFonts w:ascii="Arial" w:hAnsi="Arial" w:cs="Arial"/>
          <w:noProof/>
          <w:sz w:val="20"/>
          <w:lang w:eastAsia="en-GB"/>
        </w:rPr>
        <w:drawing>
          <wp:inline distT="0" distB="0" distL="0" distR="0" wp14:anchorId="6FB73FAB" wp14:editId="64126A85">
            <wp:extent cx="4556760" cy="2499360"/>
            <wp:effectExtent l="0" t="0" r="15240" b="15240"/>
            <wp:docPr id="251" name="Object 2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rsidR="00E26342" w:rsidRDefault="00040788">
      <w:pPr>
        <w:pStyle w:val="AnnualReport2"/>
        <w:numPr>
          <w:ilvl w:val="0"/>
          <w:numId w:val="63"/>
        </w:numPr>
        <w:ind w:left="709" w:hanging="425"/>
        <w:rPr>
          <w:noProof/>
        </w:rPr>
      </w:pPr>
      <w:r>
        <w:rPr>
          <w:noProof/>
        </w:rPr>
        <w:t>Key infringement cases and referrals to the Court</w:t>
      </w:r>
    </w:p>
    <w:p w:rsidR="00E26342" w:rsidRDefault="00040788">
      <w:pPr>
        <w:pStyle w:val="Lijstje"/>
        <w:numPr>
          <w:ilvl w:val="0"/>
          <w:numId w:val="41"/>
        </w:numPr>
        <w:ind w:left="1276" w:hanging="425"/>
        <w:rPr>
          <w:noProof/>
        </w:rPr>
      </w:pPr>
      <w:r>
        <w:rPr>
          <w:noProof/>
        </w:rPr>
        <w:t>The Commission opened 29 new infringement cases against Romania in 2017. These, and other major o</w:t>
      </w:r>
      <w:r>
        <w:rPr>
          <w:noProof/>
        </w:rPr>
        <w:t>ngoing infringement cases, include:</w:t>
      </w:r>
    </w:p>
    <w:p w:rsidR="00E26342" w:rsidRDefault="00040788">
      <w:pPr>
        <w:pStyle w:val="Lijstje2"/>
        <w:spacing w:after="200"/>
        <w:ind w:left="1843" w:hanging="425"/>
        <w:rPr>
          <w:rFonts w:ascii="Arial" w:hAnsi="Arial" w:cs="Arial"/>
          <w:noProof/>
          <w:lang w:val="en-GB"/>
        </w:rPr>
      </w:pPr>
      <w:r>
        <w:rPr>
          <w:rFonts w:ascii="Arial" w:hAnsi="Arial" w:cs="Arial"/>
          <w:bCs/>
          <w:noProof/>
          <w:lang w:val="en-GB"/>
        </w:rPr>
        <w:t>failure to carry out analysis of the relevant telecom markets on time</w:t>
      </w:r>
      <w:r>
        <w:rPr>
          <w:rStyle w:val="FootnoteReference"/>
          <w:noProof/>
        </w:rPr>
        <w:footnoteReference w:id="188"/>
      </w:r>
      <w:r>
        <w:rPr>
          <w:rFonts w:ascii="Arial" w:hAnsi="Arial" w:cs="Arial"/>
          <w:bCs/>
          <w:noProof/>
          <w:lang w:val="en-GB"/>
        </w:rPr>
        <w:t>;</w:t>
      </w:r>
    </w:p>
    <w:p w:rsidR="00E26342" w:rsidRDefault="00040788">
      <w:pPr>
        <w:pStyle w:val="Lijstje2"/>
        <w:spacing w:after="200"/>
        <w:ind w:left="1843" w:hanging="425"/>
        <w:rPr>
          <w:rFonts w:ascii="Arial" w:hAnsi="Arial" w:cs="Arial"/>
          <w:noProof/>
          <w:lang w:val="en-GB"/>
        </w:rPr>
      </w:pPr>
      <w:r>
        <w:rPr>
          <w:rFonts w:ascii="Arial" w:hAnsi="Arial" w:cs="Arial"/>
          <w:bCs/>
          <w:noProof/>
          <w:lang w:val="en-GB"/>
        </w:rPr>
        <w:t>non-compliance with</w:t>
      </w:r>
      <w:r>
        <w:rPr>
          <w:rFonts w:ascii="Arial" w:hAnsi="Arial" w:cs="Arial"/>
          <w:b/>
          <w:bCs/>
          <w:noProof/>
          <w:lang w:val="en-GB"/>
        </w:rPr>
        <w:t xml:space="preserve"> </w:t>
      </w:r>
      <w:r>
        <w:rPr>
          <w:rFonts w:ascii="Arial" w:hAnsi="Arial" w:cs="Arial"/>
          <w:bCs/>
          <w:noProof/>
          <w:lang w:val="en-GB"/>
        </w:rPr>
        <w:t>the</w:t>
      </w:r>
      <w:r>
        <w:rPr>
          <w:rFonts w:ascii="Arial" w:hAnsi="Arial" w:cs="Arial"/>
          <w:b/>
          <w:bCs/>
          <w:noProof/>
          <w:lang w:val="en-GB"/>
        </w:rPr>
        <w:t xml:space="preserve"> </w:t>
      </w:r>
      <w:r>
        <w:rPr>
          <w:rFonts w:ascii="Arial" w:hAnsi="Arial" w:cs="Arial"/>
          <w:bCs/>
          <w:noProof/>
          <w:lang w:val="en-GB"/>
        </w:rPr>
        <w:t>Collective Rights Management Directive</w:t>
      </w:r>
      <w:r>
        <w:rPr>
          <w:rStyle w:val="FootnoteReference"/>
          <w:noProof/>
          <w:lang w:val="en-GB"/>
        </w:rPr>
        <w:footnoteReference w:id="189"/>
      </w:r>
      <w:r>
        <w:rPr>
          <w:rFonts w:ascii="Arial" w:hAnsi="Arial" w:cs="Arial"/>
          <w:bCs/>
          <w:noProof/>
          <w:lang w:val="en-GB"/>
        </w:rPr>
        <w:t>;</w:t>
      </w:r>
    </w:p>
    <w:p w:rsidR="00E26342" w:rsidRDefault="00040788">
      <w:pPr>
        <w:pStyle w:val="Lijstje2"/>
        <w:spacing w:after="200"/>
        <w:ind w:left="1843" w:hanging="425"/>
        <w:rPr>
          <w:rFonts w:ascii="Arial" w:hAnsi="Arial" w:cs="Arial"/>
          <w:noProof/>
          <w:lang w:val="en-GB"/>
        </w:rPr>
      </w:pPr>
      <w:r>
        <w:rPr>
          <w:rFonts w:ascii="Arial" w:hAnsi="Arial" w:cs="Arial"/>
          <w:noProof/>
          <w:lang w:val="en-GB"/>
        </w:rPr>
        <w:t xml:space="preserve">failure </w:t>
      </w:r>
      <w:r>
        <w:rPr>
          <w:rFonts w:ascii="Arial" w:eastAsia="Times New Roman" w:hAnsi="Arial" w:cs="Arial"/>
          <w:bCs/>
          <w:noProof/>
          <w:kern w:val="0"/>
          <w:lang w:val="en-GB"/>
        </w:rPr>
        <w:t xml:space="preserve">to fully implement the Regulation on explosives precursors, which </w:t>
      </w:r>
      <w:r>
        <w:rPr>
          <w:rFonts w:ascii="Arial" w:hAnsi="Arial" w:cs="Arial"/>
          <w:noProof/>
          <w:lang w:val="en-GB"/>
        </w:rPr>
        <w:t>restricts</w:t>
      </w:r>
      <w:r>
        <w:rPr>
          <w:rFonts w:ascii="Arial" w:hAnsi="Arial" w:cs="Arial"/>
          <w:noProof/>
          <w:lang w:val="en-GB"/>
        </w:rPr>
        <w:t xml:space="preserve"> and controls access to several dangerous chemicals that could be used by terrorists to manufacture homemade explosives</w:t>
      </w:r>
      <w:r>
        <w:rPr>
          <w:rFonts w:ascii="Arial" w:eastAsia="Times New Roman" w:hAnsi="Arial" w:cs="Arial"/>
          <w:b/>
          <w:bCs/>
          <w:noProof/>
          <w:kern w:val="0"/>
          <w:lang w:val="en-GB"/>
        </w:rPr>
        <w:t>;</w:t>
      </w:r>
    </w:p>
    <w:p w:rsidR="00E26342" w:rsidRDefault="00040788">
      <w:pPr>
        <w:pStyle w:val="Lijstje2"/>
        <w:ind w:left="1843" w:hanging="425"/>
        <w:rPr>
          <w:rFonts w:ascii="Arial" w:hAnsi="Arial" w:cs="Arial"/>
          <w:noProof/>
          <w:lang w:val="en-GB"/>
        </w:rPr>
      </w:pPr>
      <w:r>
        <w:rPr>
          <w:rFonts w:ascii="Arial" w:hAnsi="Arial" w:cs="Arial"/>
          <w:noProof/>
          <w:lang w:val="en-GB"/>
        </w:rPr>
        <w:t>failure to transpose correctly the Directives on legal migration</w:t>
      </w:r>
      <w:r>
        <w:rPr>
          <w:rStyle w:val="FootnoteReference"/>
          <w:rFonts w:ascii="Arial" w:hAnsi="Arial" w:cs="Arial"/>
          <w:noProof/>
          <w:lang w:val="en-GB"/>
        </w:rPr>
        <w:footnoteReference w:id="190"/>
      </w:r>
      <w:r>
        <w:rPr>
          <w:rFonts w:ascii="Arial" w:hAnsi="Arial" w:cs="Arial"/>
          <w:noProof/>
          <w:lang w:val="en-GB"/>
        </w:rPr>
        <w:t>;</w:t>
      </w:r>
    </w:p>
    <w:p w:rsidR="00E26342" w:rsidRDefault="00040788">
      <w:pPr>
        <w:pStyle w:val="Lijstje2"/>
        <w:spacing w:after="200"/>
        <w:ind w:left="1843" w:hanging="426"/>
        <w:rPr>
          <w:rFonts w:ascii="Arial" w:hAnsi="Arial" w:cs="Arial"/>
          <w:noProof/>
          <w:lang w:val="en-GB"/>
        </w:rPr>
      </w:pPr>
      <w:r>
        <w:rPr>
          <w:rFonts w:ascii="Arial" w:hAnsi="Arial" w:cs="Arial"/>
          <w:noProof/>
          <w:lang w:val="en-GB"/>
        </w:rPr>
        <w:t xml:space="preserve">failure to adopt appropriate measures to ensure that waste from </w:t>
      </w:r>
      <w:r>
        <w:rPr>
          <w:rFonts w:ascii="Arial" w:hAnsi="Arial" w:cs="Arial"/>
          <w:noProof/>
          <w:lang w:val="en-GB"/>
        </w:rPr>
        <w:t>extractive industries is managed without endangering human health or harming the environment</w:t>
      </w:r>
      <w:r>
        <w:rPr>
          <w:rStyle w:val="FootnoteReference"/>
          <w:rFonts w:ascii="Arial" w:hAnsi="Arial" w:cs="Arial"/>
          <w:noProof/>
          <w:lang w:val="en-GB"/>
        </w:rPr>
        <w:footnoteReference w:id="191"/>
      </w:r>
      <w:r>
        <w:rPr>
          <w:rFonts w:ascii="Arial" w:hAnsi="Arial" w:cs="Arial"/>
          <w:noProof/>
          <w:lang w:val="en-GB"/>
        </w:rPr>
        <w:t>;</w:t>
      </w:r>
    </w:p>
    <w:p w:rsidR="00E26342" w:rsidRDefault="00040788">
      <w:pPr>
        <w:pStyle w:val="Lijstje2"/>
        <w:spacing w:after="200"/>
        <w:ind w:left="1843" w:hanging="426"/>
        <w:rPr>
          <w:rFonts w:ascii="Arial" w:hAnsi="Arial"/>
          <w:noProof/>
          <w:lang w:val="en-GB"/>
        </w:rPr>
      </w:pPr>
      <w:r>
        <w:rPr>
          <w:rFonts w:ascii="Arial" w:eastAsia="Times New Roman" w:hAnsi="Arial" w:cs="Arial"/>
          <w:bCs/>
          <w:noProof/>
          <w:kern w:val="0"/>
          <w:lang w:val="en-GB"/>
        </w:rPr>
        <w:t>failure</w:t>
      </w:r>
      <w:r>
        <w:rPr>
          <w:rFonts w:ascii="Arial" w:hAnsi="Arial" w:cs="Arial"/>
          <w:noProof/>
          <w:lang w:val="en-GB"/>
        </w:rPr>
        <w:t xml:space="preserve"> to </w:t>
      </w:r>
      <w:r>
        <w:rPr>
          <w:rFonts w:ascii="Arial" w:hAnsi="Arial"/>
          <w:noProof/>
          <w:lang w:val="en-GB"/>
        </w:rPr>
        <w:t>comply with the principle of equal access to EU waters and resources</w:t>
      </w:r>
      <w:r>
        <w:rPr>
          <w:rStyle w:val="FootnoteReference"/>
          <w:rFonts w:ascii="Arial" w:hAnsi="Arial"/>
          <w:noProof/>
          <w:lang w:val="en-GB"/>
        </w:rPr>
        <w:footnoteReference w:id="192"/>
      </w:r>
      <w:r>
        <w:rPr>
          <w:rFonts w:ascii="Arial" w:hAnsi="Arial"/>
          <w:noProof/>
          <w:lang w:val="en-GB"/>
        </w:rPr>
        <w:t>;</w:t>
      </w:r>
    </w:p>
    <w:p w:rsidR="00E26342" w:rsidRDefault="00040788">
      <w:pPr>
        <w:pStyle w:val="Lijstje2"/>
        <w:spacing w:after="200"/>
        <w:ind w:left="1843" w:hanging="426"/>
        <w:rPr>
          <w:rFonts w:ascii="Arial" w:hAnsi="Arial" w:cs="Arial"/>
          <w:noProof/>
          <w:lang w:val="en-GB"/>
        </w:rPr>
      </w:pPr>
      <w:r>
        <w:rPr>
          <w:rFonts w:ascii="Arial" w:hAnsi="Arial" w:cs="Arial"/>
          <w:noProof/>
          <w:lang w:val="en-GB"/>
        </w:rPr>
        <w:t>failure to comply with reporting obligations under EU waste legislation</w:t>
      </w:r>
      <w:r>
        <w:rPr>
          <w:rStyle w:val="FootnoteReference"/>
          <w:rFonts w:ascii="Arial" w:hAnsi="Arial" w:cs="Arial"/>
          <w:noProof/>
          <w:lang w:val="en-GB"/>
        </w:rPr>
        <w:footnoteReference w:id="193"/>
      </w:r>
      <w:r>
        <w:rPr>
          <w:rFonts w:ascii="Arial" w:hAnsi="Arial" w:cs="Arial"/>
          <w:noProof/>
          <w:lang w:val="en-GB"/>
        </w:rPr>
        <w:t>;</w:t>
      </w:r>
    </w:p>
    <w:p w:rsidR="00E26342" w:rsidRDefault="00040788">
      <w:pPr>
        <w:pStyle w:val="Lijstje2"/>
        <w:spacing w:after="200"/>
        <w:ind w:left="1843" w:hanging="426"/>
        <w:rPr>
          <w:rFonts w:ascii="Arial" w:hAnsi="Arial" w:cs="Arial"/>
          <w:noProof/>
          <w:lang w:val="en-GB"/>
        </w:rPr>
      </w:pPr>
      <w:r>
        <w:rPr>
          <w:rFonts w:ascii="Arial" w:hAnsi="Arial" w:cs="Arial"/>
          <w:noProof/>
          <w:lang w:val="en-GB"/>
        </w:rPr>
        <w:t>failu</w:t>
      </w:r>
      <w:r>
        <w:rPr>
          <w:rFonts w:ascii="Arial" w:hAnsi="Arial" w:cs="Arial"/>
          <w:noProof/>
          <w:lang w:val="en-GB"/>
        </w:rPr>
        <w:t>re to ensure proper monitoring of air quality throughout the whole territory</w:t>
      </w:r>
      <w:r>
        <w:rPr>
          <w:rStyle w:val="FootnoteReference"/>
          <w:rFonts w:ascii="Arial" w:hAnsi="Arial" w:cs="Arial"/>
          <w:noProof/>
          <w:lang w:val="en-GB"/>
        </w:rPr>
        <w:footnoteReference w:id="194"/>
      </w:r>
      <w:r>
        <w:rPr>
          <w:rFonts w:ascii="Arial" w:hAnsi="Arial" w:cs="Arial"/>
          <w:noProof/>
          <w:lang w:val="en-GB"/>
        </w:rPr>
        <w:t>;</w:t>
      </w:r>
    </w:p>
    <w:p w:rsidR="00E26342" w:rsidRDefault="00040788">
      <w:pPr>
        <w:pStyle w:val="Lijstje2"/>
        <w:spacing w:after="200"/>
        <w:ind w:left="1843" w:hanging="426"/>
        <w:rPr>
          <w:rFonts w:ascii="Arial" w:hAnsi="Arial" w:cs="Arial"/>
          <w:i/>
          <w:noProof/>
          <w:lang w:val="en-GB"/>
        </w:rPr>
      </w:pPr>
      <w:r>
        <w:rPr>
          <w:rFonts w:ascii="Arial" w:hAnsi="Arial" w:cs="Arial"/>
          <w:noProof/>
          <w:lang w:val="en-GB"/>
        </w:rPr>
        <w:t>failure to develop and report on the programmes of measures required by the Marine Strategy Framework Directive</w:t>
      </w:r>
      <w:r>
        <w:rPr>
          <w:rStyle w:val="FootnoteReference"/>
          <w:rFonts w:ascii="Arial" w:hAnsi="Arial" w:cs="Arial"/>
          <w:noProof/>
          <w:lang w:val="en-GB"/>
        </w:rPr>
        <w:footnoteReference w:id="195"/>
      </w:r>
      <w:r>
        <w:rPr>
          <w:rFonts w:ascii="Arial" w:hAnsi="Arial" w:cs="Arial"/>
          <w:noProof/>
          <w:lang w:val="en-GB"/>
        </w:rPr>
        <w:t>;</w:t>
      </w:r>
    </w:p>
    <w:p w:rsidR="00E26342" w:rsidRDefault="00040788">
      <w:pPr>
        <w:pStyle w:val="Lijstje2"/>
        <w:spacing w:after="200"/>
        <w:ind w:left="1843" w:hanging="426"/>
        <w:rPr>
          <w:rFonts w:ascii="Arial" w:hAnsi="Arial" w:cs="Arial"/>
          <w:i/>
          <w:noProof/>
          <w:lang w:val="en-GB"/>
        </w:rPr>
      </w:pPr>
      <w:r>
        <w:rPr>
          <w:rFonts w:ascii="Arial" w:hAnsi="Arial" w:cs="Arial"/>
          <w:noProof/>
          <w:lang w:val="en-GB"/>
        </w:rPr>
        <w:t>failure to establish strategic noise maps and action plans requ</w:t>
      </w:r>
      <w:r>
        <w:rPr>
          <w:rFonts w:ascii="Arial" w:hAnsi="Arial" w:cs="Arial"/>
          <w:noProof/>
          <w:lang w:val="en-GB"/>
        </w:rPr>
        <w:t>ired by the Noise Directive</w:t>
      </w:r>
      <w:r>
        <w:rPr>
          <w:rStyle w:val="FootnoteReference"/>
          <w:rFonts w:ascii="Arial" w:hAnsi="Arial" w:cs="Arial"/>
          <w:noProof/>
          <w:lang w:val="en-GB"/>
        </w:rPr>
        <w:footnoteReference w:id="196"/>
      </w:r>
      <w:r>
        <w:rPr>
          <w:rFonts w:ascii="Arial" w:hAnsi="Arial" w:cs="Arial"/>
          <w:noProof/>
          <w:lang w:val="en-GB"/>
        </w:rPr>
        <w:t>;</w:t>
      </w:r>
    </w:p>
    <w:p w:rsidR="00E26342" w:rsidRDefault="00040788">
      <w:pPr>
        <w:pStyle w:val="Lijstje2"/>
        <w:spacing w:after="200"/>
        <w:ind w:left="1843" w:hanging="426"/>
        <w:rPr>
          <w:rFonts w:ascii="Arial" w:hAnsi="Arial" w:cs="Arial"/>
          <w:i/>
          <w:noProof/>
          <w:lang w:val="en-GB"/>
        </w:rPr>
      </w:pPr>
      <w:r>
        <w:rPr>
          <w:rFonts w:ascii="Arial" w:hAnsi="Arial" w:cs="Arial"/>
          <w:noProof/>
          <w:lang w:val="en-GB"/>
        </w:rPr>
        <w:t>failure to communicate measures to reduce emissions from petrol vapour according to EU rules on air quality</w:t>
      </w:r>
      <w:r>
        <w:rPr>
          <w:rStyle w:val="FootnoteReference"/>
          <w:rFonts w:ascii="Arial" w:hAnsi="Arial" w:cs="Arial"/>
          <w:noProof/>
          <w:lang w:val="en-GB"/>
        </w:rPr>
        <w:footnoteReference w:id="197"/>
      </w:r>
      <w:r>
        <w:rPr>
          <w:rFonts w:ascii="Arial" w:hAnsi="Arial" w:cs="Arial"/>
          <w:noProof/>
          <w:lang w:val="en-GB"/>
        </w:rPr>
        <w:t>;</w:t>
      </w:r>
    </w:p>
    <w:p w:rsidR="00E26342" w:rsidRDefault="00040788">
      <w:pPr>
        <w:pStyle w:val="Lijstje2"/>
        <w:spacing w:after="200"/>
        <w:ind w:left="1843" w:hanging="426"/>
        <w:rPr>
          <w:rFonts w:ascii="Arial" w:hAnsi="Arial" w:cs="Arial"/>
          <w:noProof/>
          <w:lang w:val="en-GB"/>
        </w:rPr>
      </w:pPr>
      <w:r>
        <w:rPr>
          <w:rFonts w:ascii="Arial" w:hAnsi="Arial" w:cs="Arial"/>
          <w:noProof/>
          <w:lang w:val="en-GB"/>
        </w:rPr>
        <w:t>incorrect transposition of the Directive establishing a single European railway area</w:t>
      </w:r>
      <w:r>
        <w:rPr>
          <w:rStyle w:val="FootnoteReference"/>
          <w:rFonts w:ascii="Arial" w:hAnsi="Arial" w:cs="Arial"/>
          <w:noProof/>
          <w:lang w:val="en-GB"/>
        </w:rPr>
        <w:footnoteReference w:id="198"/>
      </w:r>
      <w:r>
        <w:rPr>
          <w:rFonts w:ascii="Arial" w:hAnsi="Arial" w:cs="Arial"/>
          <w:noProof/>
          <w:lang w:val="en-GB"/>
        </w:rPr>
        <w:t>;</w:t>
      </w:r>
    </w:p>
    <w:p w:rsidR="00E26342" w:rsidRDefault="00040788">
      <w:pPr>
        <w:pStyle w:val="Lijstje2"/>
        <w:ind w:left="1843" w:hanging="425"/>
        <w:rPr>
          <w:rFonts w:ascii="Arial" w:hAnsi="Arial" w:cs="Arial"/>
          <w:noProof/>
          <w:lang w:val="en-GB"/>
        </w:rPr>
      </w:pPr>
      <w:r>
        <w:rPr>
          <w:rFonts w:ascii="Arial" w:hAnsi="Arial" w:cs="Arial"/>
          <w:noProof/>
          <w:lang w:val="en-GB"/>
        </w:rPr>
        <w:t>non-compliance of the nationa</w:t>
      </w:r>
      <w:r>
        <w:rPr>
          <w:rFonts w:ascii="Arial" w:hAnsi="Arial" w:cs="Arial"/>
          <w:noProof/>
          <w:lang w:val="en-GB"/>
        </w:rPr>
        <w:t>l rules on retail trade in agricultural and food products with EU law</w:t>
      </w:r>
      <w:r>
        <w:rPr>
          <w:rStyle w:val="FootnoteReference"/>
          <w:rFonts w:ascii="Arial" w:hAnsi="Arial" w:cs="Arial"/>
          <w:noProof/>
          <w:lang w:val="en-GB"/>
        </w:rPr>
        <w:footnoteReference w:id="199"/>
      </w:r>
      <w:r>
        <w:rPr>
          <w:rFonts w:ascii="Arial" w:hAnsi="Arial" w:cs="Arial"/>
          <w:noProof/>
          <w:lang w:val="en-GB"/>
        </w:rPr>
        <w:t>;</w:t>
      </w:r>
    </w:p>
    <w:p w:rsidR="00E26342" w:rsidRDefault="00040788">
      <w:pPr>
        <w:pStyle w:val="Lijstje2"/>
        <w:spacing w:after="200"/>
        <w:ind w:left="1843" w:hanging="426"/>
        <w:rPr>
          <w:rFonts w:ascii="Arial" w:hAnsi="Arial" w:cs="Arial"/>
          <w:noProof/>
          <w:lang w:val="en-GB"/>
        </w:rPr>
      </w:pPr>
      <w:r>
        <w:rPr>
          <w:rFonts w:ascii="Arial" w:hAnsi="Arial" w:cs="Arial"/>
          <w:noProof/>
          <w:lang w:val="en-GB"/>
        </w:rPr>
        <w:t>non-communication of national measures transposing the:</w:t>
      </w:r>
    </w:p>
    <w:p w:rsidR="00E26342" w:rsidRDefault="00040788">
      <w:pPr>
        <w:pStyle w:val="Lijstje2"/>
        <w:numPr>
          <w:ilvl w:val="2"/>
          <w:numId w:val="2"/>
        </w:numPr>
        <w:spacing w:after="200"/>
        <w:ind w:left="2410" w:hanging="425"/>
        <w:rPr>
          <w:rFonts w:ascii="Arial" w:hAnsi="Arial" w:cs="Arial"/>
          <w:noProof/>
          <w:lang w:val="en-GB"/>
        </w:rPr>
      </w:pPr>
      <w:r>
        <w:rPr>
          <w:rFonts w:ascii="Arial" w:hAnsi="Arial" w:cs="Arial"/>
          <w:noProof/>
          <w:lang w:val="en-GB"/>
        </w:rPr>
        <w:t>Directive on caseins and caseinates</w:t>
      </w:r>
      <w:r>
        <w:rPr>
          <w:rStyle w:val="FootnoteReference"/>
          <w:noProof/>
          <w:lang w:val="en-GB"/>
        </w:rPr>
        <w:footnoteReference w:id="200"/>
      </w:r>
      <w:r>
        <w:rPr>
          <w:rFonts w:ascii="Arial" w:hAnsi="Arial" w:cs="Arial"/>
          <w:noProof/>
          <w:lang w:val="en-GB"/>
        </w:rPr>
        <w:t>;</w:t>
      </w:r>
    </w:p>
    <w:p w:rsidR="00E26342" w:rsidRDefault="00040788">
      <w:pPr>
        <w:pStyle w:val="Lijstje2"/>
        <w:numPr>
          <w:ilvl w:val="2"/>
          <w:numId w:val="2"/>
        </w:numPr>
        <w:ind w:left="2410" w:hanging="425"/>
        <w:rPr>
          <w:rFonts w:ascii="Arial" w:hAnsi="Arial" w:cs="Arial"/>
          <w:noProof/>
          <w:lang w:val="en-GB"/>
        </w:rPr>
      </w:pPr>
      <w:r>
        <w:rPr>
          <w:rFonts w:ascii="Arial" w:hAnsi="Arial" w:cs="Arial"/>
          <w:noProof/>
          <w:lang w:val="en-GB"/>
        </w:rPr>
        <w:t>Fourth Anti-Money Laundering Directive</w:t>
      </w:r>
      <w:r>
        <w:rPr>
          <w:rStyle w:val="FootnoteReference"/>
          <w:rFonts w:ascii="Arial" w:hAnsi="Arial" w:cs="Arial"/>
          <w:noProof/>
          <w:lang w:val="en-GB"/>
        </w:rPr>
        <w:footnoteReference w:id="201"/>
      </w:r>
      <w:r>
        <w:rPr>
          <w:rFonts w:ascii="Arial" w:hAnsi="Arial" w:cs="Arial"/>
          <w:noProof/>
          <w:lang w:val="en-GB"/>
        </w:rPr>
        <w:t>;</w:t>
      </w:r>
    </w:p>
    <w:p w:rsidR="00E26342" w:rsidRDefault="00040788">
      <w:pPr>
        <w:pStyle w:val="Lijstje2"/>
        <w:numPr>
          <w:ilvl w:val="2"/>
          <w:numId w:val="2"/>
        </w:numPr>
        <w:ind w:left="2410" w:hanging="425"/>
        <w:rPr>
          <w:rFonts w:ascii="Arial" w:hAnsi="Arial" w:cs="Arial"/>
          <w:noProof/>
          <w:lang w:val="en-GB"/>
        </w:rPr>
      </w:pPr>
      <w:r>
        <w:rPr>
          <w:rFonts w:ascii="Arial" w:hAnsi="Arial" w:cs="Arial"/>
          <w:noProof/>
          <w:lang w:val="en-GB"/>
        </w:rPr>
        <w:t>Markets in Financial Instruments Directive (MiFID</w:t>
      </w:r>
      <w:r>
        <w:rPr>
          <w:rFonts w:ascii="Arial" w:hAnsi="Arial" w:cs="Arial"/>
          <w:noProof/>
          <w:lang w:val="en-GB"/>
        </w:rPr>
        <w:t xml:space="preserve"> II) and Audit Directive;</w:t>
      </w:r>
      <w:r>
        <w:rPr>
          <w:rStyle w:val="FootnoteReference"/>
          <w:rFonts w:ascii="Arial" w:hAnsi="Arial" w:cs="Arial"/>
          <w:noProof/>
          <w:lang w:val="en-GB"/>
        </w:rPr>
        <w:t xml:space="preserve"> </w:t>
      </w:r>
      <w:r>
        <w:rPr>
          <w:rStyle w:val="FootnoteReference"/>
          <w:rFonts w:ascii="Arial" w:hAnsi="Arial" w:cs="Arial"/>
          <w:noProof/>
          <w:lang w:val="en-GB"/>
        </w:rPr>
        <w:footnoteReference w:id="202"/>
      </w:r>
    </w:p>
    <w:p w:rsidR="00E26342" w:rsidRDefault="00040788">
      <w:pPr>
        <w:pStyle w:val="Lijstje2"/>
        <w:numPr>
          <w:ilvl w:val="2"/>
          <w:numId w:val="2"/>
        </w:numPr>
        <w:ind w:left="2410" w:hanging="425"/>
        <w:rPr>
          <w:rFonts w:ascii="Arial" w:hAnsi="Arial" w:cs="Arial"/>
          <w:noProof/>
          <w:lang w:val="en-GB"/>
        </w:rPr>
      </w:pPr>
      <w:r>
        <w:rPr>
          <w:rFonts w:ascii="Arial" w:hAnsi="Arial" w:cs="Arial"/>
          <w:noProof/>
          <w:lang w:val="en-GB"/>
        </w:rPr>
        <w:t>Payment Accounts Directive</w:t>
      </w:r>
      <w:r>
        <w:rPr>
          <w:rStyle w:val="FootnoteReference"/>
          <w:rFonts w:ascii="Arial" w:hAnsi="Arial"/>
          <w:noProof/>
          <w:lang w:val="en-GB"/>
        </w:rPr>
        <w:footnoteReference w:id="203"/>
      </w:r>
      <w:r>
        <w:rPr>
          <w:rFonts w:ascii="Arial" w:hAnsi="Arial"/>
          <w:noProof/>
          <w:lang w:val="en-GB"/>
        </w:rPr>
        <w:t>;</w:t>
      </w:r>
    </w:p>
    <w:p w:rsidR="00E26342" w:rsidRDefault="00040788">
      <w:pPr>
        <w:pStyle w:val="Lijstje2"/>
        <w:numPr>
          <w:ilvl w:val="2"/>
          <w:numId w:val="2"/>
        </w:numPr>
        <w:ind w:left="2410" w:hanging="425"/>
        <w:rPr>
          <w:rFonts w:ascii="Arial" w:hAnsi="Arial" w:cs="Arial"/>
          <w:noProof/>
          <w:lang w:val="en-GB"/>
        </w:rPr>
      </w:pPr>
      <w:r>
        <w:rPr>
          <w:rFonts w:ascii="Arial" w:hAnsi="Arial" w:cs="Arial"/>
          <w:noProof/>
          <w:lang w:val="en-GB"/>
        </w:rPr>
        <w:t>Directive</w:t>
      </w:r>
      <w:r>
        <w:rPr>
          <w:rStyle w:val="FootnoteReference"/>
          <w:rFonts w:ascii="Arial" w:hAnsi="Arial" w:cs="Arial"/>
          <w:noProof/>
          <w:lang w:val="en-GB"/>
        </w:rPr>
        <w:footnoteReference w:id="204"/>
      </w:r>
      <w:r>
        <w:rPr>
          <w:rFonts w:ascii="Arial" w:hAnsi="Arial" w:cs="Arial"/>
          <w:noProof/>
          <w:lang w:val="en-GB"/>
        </w:rPr>
        <w:t xml:space="preserve"> laying down calculation methods and reporting requirements pursuant to the Directive on fuels quality</w:t>
      </w:r>
      <w:r>
        <w:rPr>
          <w:rStyle w:val="FootnoteReference"/>
          <w:rFonts w:ascii="Arial" w:hAnsi="Arial" w:cs="Arial"/>
          <w:noProof/>
          <w:lang w:val="en-GB"/>
        </w:rPr>
        <w:footnoteReference w:id="205"/>
      </w:r>
      <w:r>
        <w:rPr>
          <w:rFonts w:ascii="Arial" w:hAnsi="Arial" w:cs="Arial"/>
          <w:noProof/>
          <w:lang w:val="en-GB"/>
        </w:rPr>
        <w:t>;</w:t>
      </w:r>
    </w:p>
    <w:p w:rsidR="00E26342" w:rsidRDefault="00040788">
      <w:pPr>
        <w:pStyle w:val="Lijstje2"/>
        <w:numPr>
          <w:ilvl w:val="2"/>
          <w:numId w:val="2"/>
        </w:numPr>
        <w:ind w:left="2410" w:hanging="425"/>
        <w:rPr>
          <w:rFonts w:ascii="Arial" w:hAnsi="Arial" w:cs="Arial"/>
          <w:noProof/>
          <w:lang w:val="en-GB"/>
        </w:rPr>
      </w:pPr>
      <w:r>
        <w:rPr>
          <w:rFonts w:ascii="Arial" w:hAnsi="Arial" w:cs="Arial"/>
          <w:noProof/>
          <w:lang w:val="en-GB"/>
        </w:rPr>
        <w:t>Directive on seafarers</w:t>
      </w:r>
      <w:r>
        <w:rPr>
          <w:rStyle w:val="FootnoteReference"/>
          <w:rFonts w:ascii="Arial" w:hAnsi="Arial" w:cs="Arial"/>
          <w:noProof/>
          <w:lang w:val="en-GB"/>
        </w:rPr>
        <w:footnoteReference w:id="206"/>
      </w:r>
      <w:r>
        <w:rPr>
          <w:rFonts w:ascii="Arial" w:hAnsi="Arial" w:cs="Arial"/>
          <w:noProof/>
          <w:lang w:val="en-GB"/>
        </w:rPr>
        <w:t>;</w:t>
      </w:r>
    </w:p>
    <w:p w:rsidR="00E26342" w:rsidRDefault="00040788">
      <w:pPr>
        <w:pStyle w:val="Lijstje2"/>
        <w:numPr>
          <w:ilvl w:val="2"/>
          <w:numId w:val="2"/>
        </w:numPr>
        <w:ind w:left="2410" w:hanging="425"/>
        <w:rPr>
          <w:rFonts w:ascii="Arial" w:hAnsi="Arial" w:cs="Arial"/>
          <w:noProof/>
          <w:lang w:val="en-GB"/>
        </w:rPr>
      </w:pPr>
      <w:r>
        <w:rPr>
          <w:rFonts w:ascii="Arial" w:hAnsi="Arial" w:cs="Arial"/>
          <w:noProof/>
          <w:lang w:val="en-GB"/>
        </w:rPr>
        <w:t>Directive on the organisation of working time in inland wat</w:t>
      </w:r>
      <w:r>
        <w:rPr>
          <w:rFonts w:ascii="Arial" w:hAnsi="Arial" w:cs="Arial"/>
          <w:noProof/>
          <w:lang w:val="en-GB"/>
        </w:rPr>
        <w:t>erway transport</w:t>
      </w:r>
      <w:r>
        <w:rPr>
          <w:rStyle w:val="FootnoteReference"/>
          <w:rFonts w:ascii="Arial" w:hAnsi="Arial" w:cs="Arial"/>
          <w:noProof/>
          <w:lang w:val="en-GB"/>
        </w:rPr>
        <w:footnoteReference w:id="207"/>
      </w:r>
      <w:r>
        <w:rPr>
          <w:rFonts w:ascii="Arial" w:hAnsi="Arial" w:cs="Arial"/>
          <w:noProof/>
          <w:lang w:val="en-GB"/>
        </w:rPr>
        <w:t>.</w:t>
      </w:r>
    </w:p>
    <w:p w:rsidR="00E26342" w:rsidRDefault="00040788">
      <w:pPr>
        <w:pStyle w:val="Lijstje"/>
        <w:numPr>
          <w:ilvl w:val="0"/>
          <w:numId w:val="4"/>
        </w:numPr>
        <w:ind w:left="1276" w:hanging="425"/>
        <w:rPr>
          <w:noProof/>
        </w:rPr>
      </w:pPr>
      <w:r>
        <w:rPr>
          <w:noProof/>
        </w:rPr>
        <w:t xml:space="preserve">The Commission referred one case to the Court under Article 258 TFEU. It </w:t>
      </w:r>
      <w:r>
        <w:rPr>
          <w:noProof/>
          <w:lang w:eastAsia="en-GB"/>
        </w:rPr>
        <w:t>concerns:</w:t>
      </w:r>
    </w:p>
    <w:p w:rsidR="00E26342" w:rsidRDefault="00040788">
      <w:pPr>
        <w:pStyle w:val="Lijstje2"/>
        <w:spacing w:after="200"/>
        <w:ind w:left="1843" w:hanging="426"/>
        <w:rPr>
          <w:rFonts w:ascii="Arial" w:hAnsi="Arial" w:cs="Arial"/>
          <w:noProof/>
          <w:lang w:val="en-GB"/>
        </w:rPr>
      </w:pPr>
      <w:r>
        <w:rPr>
          <w:rFonts w:ascii="Arial" w:hAnsi="Arial" w:cs="Arial"/>
          <w:noProof/>
          <w:lang w:val="en-GB"/>
        </w:rPr>
        <w:t>failure to close and rehabilitate illegal landfills representing a serious risk for human health and the environment</w:t>
      </w:r>
      <w:r>
        <w:rPr>
          <w:rStyle w:val="FootnoteReference"/>
          <w:rFonts w:ascii="Arial" w:hAnsi="Arial" w:cs="Arial"/>
          <w:noProof/>
          <w:lang w:val="en-GB"/>
        </w:rPr>
        <w:footnoteReference w:id="208"/>
      </w:r>
      <w:r>
        <w:rPr>
          <w:rFonts w:ascii="Arial" w:hAnsi="Arial" w:cs="Arial"/>
          <w:noProof/>
          <w:lang w:val="en-GB"/>
        </w:rPr>
        <w:t>.</w:t>
      </w:r>
    </w:p>
    <w:p w:rsidR="00E26342" w:rsidRDefault="00040788">
      <w:pPr>
        <w:pStyle w:val="Lijstje"/>
        <w:numPr>
          <w:ilvl w:val="0"/>
          <w:numId w:val="4"/>
        </w:numPr>
        <w:ind w:left="1276" w:hanging="425"/>
        <w:rPr>
          <w:noProof/>
        </w:rPr>
      </w:pPr>
      <w:r>
        <w:rPr>
          <w:noProof/>
        </w:rPr>
        <w:t xml:space="preserve">The Commission did not refer any </w:t>
      </w:r>
      <w:r>
        <w:rPr>
          <w:noProof/>
        </w:rPr>
        <w:t>cases to the Court under Article 260(2) TFEU.</w:t>
      </w:r>
    </w:p>
    <w:p w:rsidR="00E26342" w:rsidRDefault="00040788">
      <w:pPr>
        <w:pStyle w:val="AnnualReport1"/>
        <w:spacing w:after="240"/>
        <w:ind w:left="709" w:hanging="425"/>
        <w:rPr>
          <w:noProof/>
        </w:rPr>
      </w:pPr>
      <w:r>
        <w:rPr>
          <w:noProof/>
        </w:rPr>
        <w:t>TRANSPOSITION OF DIRECTIVES</w:t>
      </w:r>
    </w:p>
    <w:p w:rsidR="00E26342" w:rsidRDefault="00040788">
      <w:pPr>
        <w:pStyle w:val="AnnualReport2"/>
        <w:numPr>
          <w:ilvl w:val="0"/>
          <w:numId w:val="78"/>
        </w:numPr>
        <w:ind w:left="709" w:hanging="425"/>
        <w:rPr>
          <w:noProof/>
        </w:rPr>
      </w:pPr>
      <w:r>
        <w:rPr>
          <w:noProof/>
        </w:rPr>
        <w:t>Late transposition infringement cases against Romania open on 31 December (2013-2017)</w:t>
      </w:r>
    </w:p>
    <w:p w:rsidR="00E26342" w:rsidRDefault="00040788">
      <w:pPr>
        <w:spacing w:before="360"/>
        <w:ind w:left="425" w:firstLine="284"/>
        <w:rPr>
          <w:noProof/>
        </w:rPr>
      </w:pPr>
      <w:r>
        <w:rPr>
          <w:noProof/>
          <w:lang w:eastAsia="en-GB"/>
        </w:rPr>
        <w:drawing>
          <wp:inline distT="0" distB="0" distL="0" distR="0" wp14:anchorId="318D63A2" wp14:editId="1834063C">
            <wp:extent cx="4612005" cy="2329815"/>
            <wp:effectExtent l="0" t="0" r="0" b="0"/>
            <wp:docPr id="252" name="Grafiek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rsidR="00E26342" w:rsidRDefault="00040788">
      <w:pPr>
        <w:pStyle w:val="AnnualReport2"/>
        <w:numPr>
          <w:ilvl w:val="0"/>
          <w:numId w:val="63"/>
        </w:numPr>
        <w:spacing w:after="120"/>
        <w:ind w:left="709" w:hanging="425"/>
        <w:rPr>
          <w:noProof/>
        </w:rPr>
      </w:pPr>
      <w:r>
        <w:rPr>
          <w:noProof/>
        </w:rPr>
        <w:t xml:space="preserve"> New late transposition infringement cases against Romania (2013-2017)</w:t>
      </w:r>
    </w:p>
    <w:p w:rsidR="00E26342" w:rsidRDefault="00040788">
      <w:pPr>
        <w:spacing w:before="360"/>
        <w:ind w:firstLine="709"/>
        <w:rPr>
          <w:rFonts w:ascii="Arial" w:hAnsi="Arial" w:cs="Arial"/>
          <w:noProof/>
          <w:sz w:val="20"/>
        </w:rPr>
      </w:pPr>
      <w:r>
        <w:rPr>
          <w:rFonts w:ascii="Arial" w:hAnsi="Arial" w:cs="Arial"/>
          <w:noProof/>
          <w:sz w:val="20"/>
          <w:lang w:eastAsia="en-GB"/>
        </w:rPr>
        <w:drawing>
          <wp:inline distT="0" distB="0" distL="0" distR="0" wp14:anchorId="1EDFF11C" wp14:editId="10317353">
            <wp:extent cx="4603750" cy="2067560"/>
            <wp:effectExtent l="0" t="0" r="25400" b="27940"/>
            <wp:docPr id="253"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r>
        <w:rPr>
          <w:rFonts w:ascii="Arial" w:hAnsi="Arial" w:cs="Arial"/>
          <w:noProof/>
          <w:sz w:val="20"/>
        </w:rPr>
        <w:br w:type="page"/>
      </w:r>
    </w:p>
    <w:p w:rsidR="00E26342" w:rsidRDefault="00040788">
      <w:pPr>
        <w:pStyle w:val="AnnualReport2"/>
        <w:numPr>
          <w:ilvl w:val="0"/>
          <w:numId w:val="63"/>
        </w:numPr>
        <w:ind w:left="709" w:hanging="425"/>
        <w:rPr>
          <w:noProof/>
        </w:rPr>
      </w:pPr>
      <w:r>
        <w:rPr>
          <w:noProof/>
        </w:rPr>
        <w:t xml:space="preserve">New late </w:t>
      </w:r>
      <w:r>
        <w:rPr>
          <w:noProof/>
        </w:rPr>
        <w:t>transposition infringement cases opened in 2017: main policy areas</w:t>
      </w:r>
    </w:p>
    <w:p w:rsidR="00E26342" w:rsidRDefault="00040788">
      <w:pPr>
        <w:spacing w:before="360"/>
        <w:ind w:firstLine="709"/>
        <w:rPr>
          <w:rFonts w:ascii="Arial" w:hAnsi="Arial" w:cs="Arial"/>
          <w:noProof/>
          <w:sz w:val="20"/>
        </w:rPr>
      </w:pPr>
      <w:r>
        <w:rPr>
          <w:rFonts w:ascii="Arial" w:hAnsi="Arial" w:cs="Arial"/>
          <w:noProof/>
          <w:sz w:val="20"/>
          <w:lang w:eastAsia="en-GB"/>
        </w:rPr>
        <w:drawing>
          <wp:inline distT="0" distB="0" distL="0" distR="0" wp14:anchorId="5421FAD0" wp14:editId="369FD83A">
            <wp:extent cx="4587875" cy="2504440"/>
            <wp:effectExtent l="0" t="0" r="22225" b="10160"/>
            <wp:docPr id="254" name="Object 2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rsidR="00E26342" w:rsidRDefault="00040788">
      <w:pPr>
        <w:pStyle w:val="AnnualReport2"/>
        <w:numPr>
          <w:ilvl w:val="0"/>
          <w:numId w:val="63"/>
        </w:numPr>
        <w:ind w:left="709" w:hanging="425"/>
        <w:rPr>
          <w:noProof/>
        </w:rPr>
      </w:pPr>
      <w:r>
        <w:rPr>
          <w:noProof/>
        </w:rPr>
        <w:t>Referrals to the Court</w:t>
      </w:r>
    </w:p>
    <w:p w:rsidR="00E26342" w:rsidRDefault="00040788">
      <w:pPr>
        <w:spacing w:after="120"/>
        <w:ind w:left="709"/>
        <w:rPr>
          <w:rFonts w:eastAsia="Calibri"/>
          <w:noProof/>
        </w:rPr>
      </w:pPr>
      <w:r>
        <w:rPr>
          <w:rFonts w:ascii="Arial" w:eastAsia="Calibri" w:hAnsi="Arial" w:cs="Arial"/>
          <w:noProof/>
          <w:kern w:val="20"/>
          <w:sz w:val="20"/>
        </w:rPr>
        <w:t>The Commission did not refer any cases to the Court under Articles 258 and 260(3) TFEU.</w:t>
      </w:r>
    </w:p>
    <w:p w:rsidR="00E26342" w:rsidRDefault="00040788">
      <w:pPr>
        <w:pStyle w:val="AnnualReport1"/>
        <w:spacing w:after="240"/>
        <w:ind w:left="709" w:hanging="425"/>
        <w:rPr>
          <w:noProof/>
        </w:rPr>
      </w:pPr>
      <w:r>
        <w:rPr>
          <w:noProof/>
        </w:rPr>
        <w:t>EARLY RESOLUTION OF INFRINGEMENT CASES</w:t>
      </w:r>
    </w:p>
    <w:p w:rsidR="00E26342" w:rsidRDefault="00040788">
      <w:pPr>
        <w:spacing w:after="60"/>
        <w:ind w:left="284" w:firstLine="425"/>
        <w:jc w:val="left"/>
        <w:outlineLvl w:val="1"/>
        <w:rPr>
          <w:rFonts w:ascii="Arial" w:hAnsi="Arial"/>
          <w:noProof/>
          <w:color w:val="002060"/>
          <w:sz w:val="22"/>
          <w:szCs w:val="22"/>
        </w:rPr>
      </w:pPr>
      <w:r>
        <w:rPr>
          <w:rFonts w:ascii="Arial" w:hAnsi="Arial"/>
          <w:noProof/>
          <w:color w:val="002060"/>
          <w:sz w:val="22"/>
          <w:szCs w:val="22"/>
        </w:rPr>
        <w:t>Major cases closed without a Court ju</w:t>
      </w:r>
      <w:r>
        <w:rPr>
          <w:rFonts w:ascii="Arial" w:hAnsi="Arial"/>
          <w:noProof/>
          <w:color w:val="002060"/>
          <w:sz w:val="22"/>
          <w:szCs w:val="22"/>
        </w:rPr>
        <w:t>dgment in 2017</w:t>
      </w:r>
    </w:p>
    <w:p w:rsidR="00E26342" w:rsidRDefault="00040788">
      <w:pPr>
        <w:spacing w:before="120" w:after="120"/>
        <w:ind w:firstLine="709"/>
        <w:rPr>
          <w:rFonts w:ascii="Arial" w:hAnsi="Arial" w:cs="Arial"/>
          <w:noProof/>
          <w:sz w:val="20"/>
        </w:rPr>
      </w:pPr>
      <w:r>
        <w:rPr>
          <w:rFonts w:ascii="Arial" w:hAnsi="Arial" w:cs="Arial"/>
          <w:noProof/>
          <w:sz w:val="20"/>
        </w:rPr>
        <w:t>These concerned:</w:t>
      </w:r>
    </w:p>
    <w:p w:rsidR="00E26342" w:rsidRDefault="00040788">
      <w:pPr>
        <w:pStyle w:val="Lijstje2"/>
        <w:spacing w:after="200"/>
        <w:ind w:left="1276" w:hanging="425"/>
        <w:rPr>
          <w:rFonts w:ascii="Arial" w:hAnsi="Arial" w:cs="Arial"/>
          <w:noProof/>
          <w:lang w:val="en-GB"/>
        </w:rPr>
      </w:pPr>
      <w:r>
        <w:rPr>
          <w:rFonts w:ascii="Arial" w:hAnsi="Arial" w:cs="Arial"/>
          <w:noProof/>
          <w:lang w:val="en-GB"/>
        </w:rPr>
        <w:t>failure to develop and report on the programmes of measures required by the Marine Strategy Framework Directive</w:t>
      </w:r>
      <w:r>
        <w:rPr>
          <w:rStyle w:val="FootnoteReference"/>
          <w:rFonts w:ascii="Arial" w:hAnsi="Arial" w:cs="Arial"/>
          <w:noProof/>
          <w:lang w:val="en-GB"/>
        </w:rPr>
        <w:footnoteReference w:id="209"/>
      </w:r>
      <w:r>
        <w:rPr>
          <w:rFonts w:ascii="Arial" w:hAnsi="Arial" w:cs="Arial"/>
          <w:noProof/>
          <w:lang w:val="en-GB"/>
        </w:rPr>
        <w:t>;</w:t>
      </w:r>
    </w:p>
    <w:p w:rsidR="00E26342" w:rsidRDefault="00040788">
      <w:pPr>
        <w:pStyle w:val="Lijstje2"/>
        <w:spacing w:after="200"/>
        <w:ind w:left="1276" w:hanging="425"/>
        <w:rPr>
          <w:rFonts w:ascii="Arial" w:hAnsi="Arial" w:cs="Arial"/>
          <w:noProof/>
          <w:lang w:val="en-GB"/>
        </w:rPr>
      </w:pPr>
      <w:r>
        <w:rPr>
          <w:rStyle w:val="Strong"/>
          <w:rFonts w:ascii="Arial" w:hAnsi="Arial" w:cs="Arial"/>
          <w:b w:val="0"/>
          <w:bCs w:val="0"/>
          <w:noProof/>
          <w:lang w:val="en-GB"/>
        </w:rPr>
        <w:t>non-compliance of national legislation on gambling with EU rules</w:t>
      </w:r>
      <w:r>
        <w:rPr>
          <w:rStyle w:val="FootnoteReference"/>
          <w:rFonts w:ascii="Arial" w:hAnsi="Arial" w:cs="Arial"/>
          <w:noProof/>
          <w:lang w:val="en-GB"/>
        </w:rPr>
        <w:footnoteReference w:id="210"/>
      </w:r>
      <w:r>
        <w:rPr>
          <w:rFonts w:ascii="Arial" w:hAnsi="Arial" w:cs="Arial"/>
          <w:noProof/>
          <w:lang w:val="en-GB"/>
        </w:rPr>
        <w:t>;</w:t>
      </w:r>
    </w:p>
    <w:p w:rsidR="00E26342" w:rsidRDefault="00040788">
      <w:pPr>
        <w:pStyle w:val="Lijstje2"/>
        <w:spacing w:after="200"/>
        <w:ind w:left="1276" w:hanging="425"/>
        <w:rPr>
          <w:rFonts w:ascii="Arial" w:hAnsi="Arial" w:cs="Arial"/>
          <w:noProof/>
          <w:lang w:val="en-GB"/>
        </w:rPr>
      </w:pPr>
      <w:r>
        <w:rPr>
          <w:rFonts w:ascii="Arial" w:hAnsi="Arial" w:cs="Arial"/>
          <w:noProof/>
          <w:lang w:val="en-GB"/>
        </w:rPr>
        <w:t xml:space="preserve">non-communication of national measures </w:t>
      </w:r>
      <w:r>
        <w:rPr>
          <w:rFonts w:ascii="Arial" w:hAnsi="Arial" w:cs="Arial"/>
          <w:noProof/>
          <w:lang w:val="en-GB"/>
        </w:rPr>
        <w:t>transposing the:</w:t>
      </w:r>
    </w:p>
    <w:p w:rsidR="00E26342" w:rsidRDefault="00040788">
      <w:pPr>
        <w:pStyle w:val="Lijstje2"/>
        <w:numPr>
          <w:ilvl w:val="2"/>
          <w:numId w:val="2"/>
        </w:numPr>
        <w:spacing w:after="200"/>
        <w:ind w:left="1843" w:hanging="425"/>
        <w:rPr>
          <w:rFonts w:ascii="Arial" w:hAnsi="Arial" w:cs="Arial"/>
          <w:noProof/>
          <w:lang w:val="en-GB"/>
        </w:rPr>
      </w:pPr>
      <w:r>
        <w:rPr>
          <w:rFonts w:ascii="Arial" w:hAnsi="Arial" w:cs="Arial"/>
          <w:noProof/>
          <w:lang w:val="en-GB"/>
        </w:rPr>
        <w:t>Directive on caseins and caseinates</w:t>
      </w:r>
      <w:r>
        <w:rPr>
          <w:rStyle w:val="FootnoteReference"/>
          <w:rFonts w:ascii="Arial" w:hAnsi="Arial"/>
          <w:noProof/>
          <w:lang w:val="en-GB"/>
        </w:rPr>
        <w:footnoteReference w:id="211"/>
      </w:r>
      <w:r>
        <w:rPr>
          <w:rFonts w:ascii="Arial" w:hAnsi="Arial" w:cs="Arial"/>
          <w:noProof/>
          <w:lang w:val="en-GB"/>
        </w:rPr>
        <w:t>;</w:t>
      </w:r>
    </w:p>
    <w:p w:rsidR="00E26342" w:rsidRDefault="00040788">
      <w:pPr>
        <w:pStyle w:val="Lijstje2"/>
        <w:numPr>
          <w:ilvl w:val="2"/>
          <w:numId w:val="2"/>
        </w:numPr>
        <w:spacing w:after="200"/>
        <w:ind w:left="1843" w:hanging="425"/>
        <w:rPr>
          <w:rFonts w:ascii="Arial" w:hAnsi="Arial" w:cs="Arial"/>
          <w:noProof/>
          <w:lang w:val="en-GB"/>
        </w:rPr>
      </w:pPr>
      <w:r>
        <w:rPr>
          <w:rFonts w:ascii="Arial" w:hAnsi="Arial" w:cs="Arial"/>
          <w:bCs/>
          <w:noProof/>
          <w:lang w:val="en-GB"/>
        </w:rPr>
        <w:t>Directive on seasonal workers</w:t>
      </w:r>
      <w:r>
        <w:rPr>
          <w:rStyle w:val="FootnoteReference"/>
          <w:rFonts w:ascii="Arial" w:hAnsi="Arial" w:cs="Arial"/>
          <w:bCs/>
          <w:noProof/>
          <w:lang w:val="en-GB"/>
        </w:rPr>
        <w:footnoteReference w:id="212"/>
      </w:r>
      <w:r>
        <w:rPr>
          <w:rFonts w:ascii="Arial" w:hAnsi="Arial" w:cs="Arial"/>
          <w:bCs/>
          <w:noProof/>
          <w:lang w:val="en-GB"/>
        </w:rPr>
        <w:t>;</w:t>
      </w:r>
    </w:p>
    <w:p w:rsidR="00E26342" w:rsidRDefault="00040788">
      <w:pPr>
        <w:pStyle w:val="Lijstje2"/>
        <w:numPr>
          <w:ilvl w:val="2"/>
          <w:numId w:val="2"/>
        </w:numPr>
        <w:spacing w:after="200"/>
        <w:ind w:left="1843" w:hanging="425"/>
        <w:rPr>
          <w:rFonts w:ascii="Arial" w:hAnsi="Arial" w:cs="Arial"/>
          <w:noProof/>
          <w:lang w:val="en-GB"/>
        </w:rPr>
      </w:pPr>
      <w:r>
        <w:rPr>
          <w:rFonts w:ascii="Arial" w:hAnsi="Arial" w:cs="Arial"/>
          <w:bCs/>
          <w:noProof/>
          <w:lang w:val="en-GB"/>
        </w:rPr>
        <w:t>‘Qualifications’ Directive</w:t>
      </w:r>
      <w:r>
        <w:rPr>
          <w:rStyle w:val="FootnoteReference"/>
          <w:rFonts w:ascii="Arial" w:hAnsi="Arial" w:cs="Arial"/>
          <w:bCs/>
          <w:noProof/>
          <w:lang w:val="en-GB"/>
        </w:rPr>
        <w:footnoteReference w:id="213"/>
      </w:r>
      <w:r>
        <w:rPr>
          <w:rFonts w:ascii="Arial" w:hAnsi="Arial" w:cs="Arial"/>
          <w:bCs/>
          <w:noProof/>
          <w:lang w:val="en-GB"/>
        </w:rPr>
        <w:t>;</w:t>
      </w:r>
    </w:p>
    <w:p w:rsidR="00E26342" w:rsidRDefault="00040788">
      <w:pPr>
        <w:pStyle w:val="Lijstje2"/>
        <w:numPr>
          <w:ilvl w:val="2"/>
          <w:numId w:val="2"/>
        </w:numPr>
        <w:spacing w:after="200"/>
        <w:ind w:left="1843" w:hanging="425"/>
        <w:rPr>
          <w:rFonts w:ascii="Arial" w:hAnsi="Arial" w:cs="Arial"/>
          <w:noProof/>
          <w:lang w:val="en-GB"/>
        </w:rPr>
      </w:pPr>
      <w:r>
        <w:rPr>
          <w:rFonts w:ascii="Arial" w:hAnsi="Arial" w:cs="Arial"/>
          <w:noProof/>
          <w:lang w:val="en-GB"/>
        </w:rPr>
        <w:t>Public Procurement Directive</w:t>
      </w:r>
      <w:r>
        <w:rPr>
          <w:rStyle w:val="FootnoteReference"/>
          <w:noProof/>
        </w:rPr>
        <w:footnoteReference w:id="214"/>
      </w:r>
      <w:r>
        <w:rPr>
          <w:rFonts w:ascii="Arial" w:hAnsi="Arial" w:cs="Arial"/>
          <w:i/>
          <w:noProof/>
          <w:lang w:val="en-GB"/>
        </w:rPr>
        <w:t>;</w:t>
      </w:r>
    </w:p>
    <w:p w:rsidR="00E26342" w:rsidRDefault="00040788">
      <w:pPr>
        <w:pStyle w:val="Lijstje2"/>
        <w:numPr>
          <w:ilvl w:val="2"/>
          <w:numId w:val="2"/>
        </w:numPr>
        <w:spacing w:after="200"/>
        <w:ind w:left="1843" w:hanging="425"/>
        <w:rPr>
          <w:rFonts w:ascii="Arial" w:hAnsi="Arial" w:cs="Arial"/>
          <w:noProof/>
          <w:lang w:val="en-GB"/>
        </w:rPr>
      </w:pPr>
      <w:r>
        <w:rPr>
          <w:rFonts w:ascii="Arial" w:hAnsi="Arial" w:cs="Arial"/>
          <w:noProof/>
          <w:lang w:val="en-GB"/>
        </w:rPr>
        <w:t>Directive on the award of concession contracts</w:t>
      </w:r>
      <w:r>
        <w:rPr>
          <w:rStyle w:val="FootnoteReference"/>
          <w:noProof/>
          <w:lang w:val="en-GB"/>
        </w:rPr>
        <w:footnoteReference w:id="215"/>
      </w:r>
      <w:r>
        <w:rPr>
          <w:rFonts w:ascii="Arial" w:hAnsi="Arial" w:cs="Arial"/>
          <w:i/>
          <w:noProof/>
          <w:lang w:val="en-GB"/>
        </w:rPr>
        <w:t>;</w:t>
      </w:r>
    </w:p>
    <w:p w:rsidR="00E26342" w:rsidRDefault="00040788">
      <w:pPr>
        <w:pStyle w:val="Lijstje2"/>
        <w:numPr>
          <w:ilvl w:val="2"/>
          <w:numId w:val="2"/>
        </w:numPr>
        <w:spacing w:after="200"/>
        <w:ind w:left="1843" w:hanging="425"/>
        <w:rPr>
          <w:rFonts w:ascii="Arial" w:hAnsi="Arial" w:cs="Arial"/>
          <w:noProof/>
          <w:lang w:val="en-GB"/>
        </w:rPr>
      </w:pPr>
      <w:r>
        <w:rPr>
          <w:rFonts w:ascii="Arial" w:hAnsi="Arial" w:cs="Arial"/>
          <w:noProof/>
          <w:lang w:val="en-GB" w:eastAsia="en-GB"/>
        </w:rPr>
        <w:t>Directive on procurement by entities operating in the water,</w:t>
      </w:r>
      <w:r>
        <w:rPr>
          <w:rFonts w:ascii="Arial" w:hAnsi="Arial" w:cs="Arial"/>
          <w:noProof/>
          <w:lang w:val="en-GB" w:eastAsia="en-GB"/>
        </w:rPr>
        <w:t xml:space="preserve"> energy, transport and postal services sectors</w:t>
      </w:r>
      <w:r>
        <w:rPr>
          <w:rStyle w:val="FootnoteReference"/>
          <w:rFonts w:ascii="Arial" w:hAnsi="Arial" w:cs="Arial"/>
          <w:noProof/>
          <w:lang w:val="en-GB" w:eastAsia="en-GB"/>
        </w:rPr>
        <w:footnoteReference w:id="216"/>
      </w:r>
      <w:r>
        <w:rPr>
          <w:rFonts w:ascii="Arial" w:hAnsi="Arial" w:cs="Arial"/>
          <w:noProof/>
          <w:lang w:val="en-GB" w:eastAsia="en-GB"/>
        </w:rPr>
        <w:t>;</w:t>
      </w:r>
    </w:p>
    <w:p w:rsidR="00E26342" w:rsidRDefault="00040788">
      <w:pPr>
        <w:pStyle w:val="Lijstje2"/>
        <w:numPr>
          <w:ilvl w:val="2"/>
          <w:numId w:val="2"/>
        </w:numPr>
        <w:spacing w:after="200"/>
        <w:ind w:left="1843" w:hanging="425"/>
        <w:rPr>
          <w:rFonts w:ascii="Arial" w:hAnsi="Arial" w:cs="Arial"/>
          <w:noProof/>
          <w:lang w:val="en-GB"/>
        </w:rPr>
      </w:pPr>
      <w:r>
        <w:rPr>
          <w:rFonts w:ascii="Arial" w:hAnsi="Arial" w:cs="Arial"/>
          <w:noProof/>
          <w:lang w:val="en-GB"/>
        </w:rPr>
        <w:t>Directive</w:t>
      </w:r>
      <w:r>
        <w:rPr>
          <w:rFonts w:ascii="Arial" w:eastAsia="Times New Roman" w:hAnsi="Arial" w:cs="Arial"/>
          <w:noProof/>
          <w:color w:val="3D3D3D"/>
          <w:kern w:val="0"/>
          <w:sz w:val="22"/>
          <w:lang w:val="en-GB"/>
        </w:rPr>
        <w:t xml:space="preserve"> </w:t>
      </w:r>
      <w:r>
        <w:rPr>
          <w:rFonts w:ascii="Arial" w:hAnsi="Arial" w:cs="Arial"/>
          <w:noProof/>
          <w:lang w:val="en-GB"/>
        </w:rPr>
        <w:t>on the charging of heavy goods vehicles for the use of certain infrastructures</w:t>
      </w:r>
      <w:r>
        <w:rPr>
          <w:rStyle w:val="FootnoteReference"/>
          <w:rFonts w:ascii="Arial" w:hAnsi="Arial" w:cs="Arial"/>
          <w:noProof/>
          <w:lang w:val="en-GB"/>
        </w:rPr>
        <w:footnoteReference w:id="217"/>
      </w:r>
      <w:r>
        <w:rPr>
          <w:rFonts w:ascii="Arial" w:hAnsi="Arial" w:cs="Arial"/>
          <w:noProof/>
          <w:lang w:val="en-GB"/>
        </w:rPr>
        <w:t>;</w:t>
      </w:r>
    </w:p>
    <w:p w:rsidR="00E26342" w:rsidRDefault="00040788">
      <w:pPr>
        <w:pStyle w:val="Lijstje2"/>
        <w:numPr>
          <w:ilvl w:val="2"/>
          <w:numId w:val="2"/>
        </w:numPr>
        <w:spacing w:after="200"/>
        <w:ind w:left="1843" w:hanging="425"/>
        <w:rPr>
          <w:rFonts w:ascii="Arial" w:hAnsi="Arial" w:cs="Arial"/>
          <w:noProof/>
          <w:lang w:val="en-GB"/>
        </w:rPr>
      </w:pPr>
      <w:r>
        <w:rPr>
          <w:rFonts w:ascii="Arial" w:hAnsi="Arial" w:cs="Arial"/>
          <w:noProof/>
          <w:lang w:val="en-GB"/>
        </w:rPr>
        <w:t>Solvency II Directive</w:t>
      </w:r>
      <w:r>
        <w:rPr>
          <w:rStyle w:val="FootnoteReference"/>
          <w:noProof/>
        </w:rPr>
        <w:footnoteReference w:id="218"/>
      </w:r>
      <w:r>
        <w:rPr>
          <w:rFonts w:ascii="Arial" w:hAnsi="Arial" w:cs="Arial"/>
          <w:noProof/>
          <w:lang w:val="en-GB"/>
        </w:rPr>
        <w:t>;</w:t>
      </w:r>
    </w:p>
    <w:p w:rsidR="00E26342" w:rsidRDefault="00040788">
      <w:pPr>
        <w:pStyle w:val="Lijstje2"/>
        <w:numPr>
          <w:ilvl w:val="2"/>
          <w:numId w:val="2"/>
        </w:numPr>
        <w:spacing w:after="200"/>
        <w:ind w:left="1843" w:hanging="425"/>
        <w:rPr>
          <w:rFonts w:ascii="Arial" w:hAnsi="Arial" w:cs="Arial"/>
          <w:noProof/>
          <w:lang w:val="en-GB"/>
        </w:rPr>
      </w:pPr>
      <w:r>
        <w:rPr>
          <w:rFonts w:ascii="Arial" w:hAnsi="Arial" w:cs="Arial"/>
          <w:noProof/>
          <w:lang w:val="en-GB"/>
        </w:rPr>
        <w:t>Omnibus II Directive in respect of the powers of the European Insurance and Occupational Pen</w:t>
      </w:r>
      <w:r>
        <w:rPr>
          <w:rFonts w:ascii="Arial" w:hAnsi="Arial" w:cs="Arial"/>
          <w:noProof/>
          <w:lang w:val="en-GB"/>
        </w:rPr>
        <w:t>sions Authority and the European Securities and Markets Authority</w:t>
      </w:r>
      <w:r>
        <w:rPr>
          <w:rStyle w:val="FootnoteReference"/>
          <w:noProof/>
        </w:rPr>
        <w:footnoteReference w:id="219"/>
      </w:r>
      <w:r>
        <w:rPr>
          <w:rFonts w:ascii="Arial" w:hAnsi="Arial" w:cs="Arial"/>
          <w:noProof/>
          <w:lang w:val="en-GB"/>
        </w:rPr>
        <w:t>;</w:t>
      </w:r>
    </w:p>
    <w:p w:rsidR="00E26342" w:rsidRDefault="00040788">
      <w:pPr>
        <w:pStyle w:val="Lijstje2"/>
        <w:numPr>
          <w:ilvl w:val="2"/>
          <w:numId w:val="2"/>
        </w:numPr>
        <w:spacing w:after="200"/>
        <w:ind w:left="1843" w:hanging="425"/>
        <w:rPr>
          <w:rFonts w:ascii="Arial" w:hAnsi="Arial" w:cs="Arial"/>
          <w:noProof/>
          <w:lang w:val="en-GB"/>
        </w:rPr>
      </w:pPr>
      <w:r>
        <w:rPr>
          <w:rFonts w:ascii="Arial" w:hAnsi="Arial" w:cs="Arial"/>
          <w:noProof/>
          <w:lang w:val="en-GB"/>
        </w:rPr>
        <w:t>Accounting Directive</w:t>
      </w:r>
      <w:r>
        <w:rPr>
          <w:rStyle w:val="FootnoteReference"/>
          <w:noProof/>
        </w:rPr>
        <w:footnoteReference w:id="220"/>
      </w:r>
      <w:r>
        <w:rPr>
          <w:rFonts w:ascii="Arial" w:hAnsi="Arial" w:cs="Arial"/>
          <w:noProof/>
          <w:lang w:val="en-GB"/>
        </w:rPr>
        <w:t>;</w:t>
      </w:r>
    </w:p>
    <w:p w:rsidR="00E26342" w:rsidRDefault="00040788">
      <w:pPr>
        <w:pStyle w:val="Lijstje2"/>
        <w:numPr>
          <w:ilvl w:val="2"/>
          <w:numId w:val="2"/>
        </w:numPr>
        <w:spacing w:after="200"/>
        <w:ind w:left="1843" w:hanging="425"/>
        <w:rPr>
          <w:rFonts w:ascii="Arial" w:hAnsi="Arial" w:cs="Arial"/>
          <w:noProof/>
          <w:lang w:val="en-GB"/>
        </w:rPr>
      </w:pPr>
      <w:r>
        <w:rPr>
          <w:rFonts w:ascii="Arial" w:hAnsi="Arial" w:cs="Arial"/>
          <w:noProof/>
          <w:lang w:val="en-GB"/>
        </w:rPr>
        <w:t>Directive on disclosure of non-financial and diversity information by certain large undertakings</w:t>
      </w:r>
      <w:r>
        <w:rPr>
          <w:rStyle w:val="FootnoteReference"/>
          <w:noProof/>
          <w:lang w:val="en-GB"/>
        </w:rPr>
        <w:footnoteReference w:id="221"/>
      </w:r>
      <w:r>
        <w:rPr>
          <w:rFonts w:ascii="Arial" w:hAnsi="Arial" w:cs="Arial"/>
          <w:noProof/>
          <w:lang w:val="en-GB"/>
        </w:rPr>
        <w:t>;</w:t>
      </w:r>
    </w:p>
    <w:p w:rsidR="00E26342" w:rsidRDefault="00040788">
      <w:pPr>
        <w:pStyle w:val="Lijstje2"/>
        <w:numPr>
          <w:ilvl w:val="2"/>
          <w:numId w:val="2"/>
        </w:numPr>
        <w:spacing w:after="200"/>
        <w:ind w:left="1843" w:hanging="425"/>
        <w:rPr>
          <w:rFonts w:ascii="Arial" w:hAnsi="Arial" w:cs="Arial"/>
          <w:noProof/>
          <w:lang w:val="en-GB"/>
        </w:rPr>
      </w:pPr>
      <w:r>
        <w:rPr>
          <w:rFonts w:ascii="Arial" w:hAnsi="Arial" w:cs="Arial"/>
          <w:noProof/>
          <w:lang w:val="en-GB"/>
        </w:rPr>
        <w:t>Directive establishing a single European railway area</w:t>
      </w:r>
      <w:r>
        <w:rPr>
          <w:rStyle w:val="FootnoteReference"/>
          <w:rFonts w:ascii="Arial" w:hAnsi="Arial" w:cs="Arial"/>
          <w:noProof/>
          <w:lang w:val="en-GB"/>
        </w:rPr>
        <w:footnoteReference w:id="222"/>
      </w:r>
      <w:r>
        <w:rPr>
          <w:rFonts w:ascii="Arial" w:hAnsi="Arial" w:cs="Arial"/>
          <w:noProof/>
          <w:lang w:val="en-GB"/>
        </w:rPr>
        <w:t>.</w:t>
      </w:r>
    </w:p>
    <w:p w:rsidR="00E26342" w:rsidRDefault="00040788">
      <w:pPr>
        <w:pStyle w:val="AnnualReport1"/>
        <w:spacing w:after="240"/>
        <w:ind w:left="709" w:hanging="425"/>
        <w:rPr>
          <w:noProof/>
        </w:rPr>
      </w:pPr>
      <w:r>
        <w:rPr>
          <w:noProof/>
        </w:rPr>
        <w:t xml:space="preserve">IMPORTANT </w:t>
      </w:r>
      <w:r>
        <w:rPr>
          <w:noProof/>
        </w:rPr>
        <w:t>JUDGMENTS</w:t>
      </w:r>
    </w:p>
    <w:p w:rsidR="00E26342" w:rsidRDefault="00040788">
      <w:pPr>
        <w:pStyle w:val="AnnualReport2"/>
        <w:numPr>
          <w:ilvl w:val="0"/>
          <w:numId w:val="79"/>
        </w:numPr>
        <w:ind w:left="709" w:hanging="425"/>
        <w:rPr>
          <w:noProof/>
        </w:rPr>
      </w:pPr>
      <w:r>
        <w:rPr>
          <w:noProof/>
        </w:rPr>
        <w:t>Court rulings</w:t>
      </w:r>
      <w:r>
        <w:rPr>
          <w:rStyle w:val="FootnoteReference"/>
          <w:noProof/>
        </w:rPr>
        <w:footnoteReference w:id="223"/>
      </w:r>
    </w:p>
    <w:p w:rsidR="00E26342" w:rsidRDefault="00040788">
      <w:pPr>
        <w:pStyle w:val="Body"/>
        <w:rPr>
          <w:noProof/>
          <w:lang w:val="en-GB"/>
        </w:rPr>
      </w:pPr>
      <w:r>
        <w:rPr>
          <w:noProof/>
          <w:lang w:val="en-GB"/>
        </w:rPr>
        <w:t xml:space="preserve">The Court gave the following ruling. </w:t>
      </w:r>
    </w:p>
    <w:p w:rsidR="00E26342" w:rsidRDefault="00040788">
      <w:pPr>
        <w:pStyle w:val="Lijstje2"/>
        <w:spacing w:after="200"/>
        <w:ind w:left="1276" w:hanging="425"/>
        <w:rPr>
          <w:rFonts w:ascii="Arial" w:hAnsi="Arial"/>
          <w:noProof/>
          <w:lang w:val="en-GB"/>
        </w:rPr>
      </w:pPr>
      <w:r>
        <w:rPr>
          <w:rFonts w:ascii="Arial" w:hAnsi="Arial" w:cs="Arial"/>
          <w:noProof/>
          <w:lang w:val="en-GB"/>
        </w:rPr>
        <w:t>No direct legal obligations are created in the letters sent by the Commission to Member States inviting them to make available amounts for the loss of traditional own resources. As under the ow</w:t>
      </w:r>
      <w:r>
        <w:rPr>
          <w:rFonts w:ascii="Arial" w:hAnsi="Arial" w:cs="Arial"/>
          <w:noProof/>
          <w:lang w:val="en-GB"/>
        </w:rPr>
        <w:t xml:space="preserve">n resources legislation the Commission does not have competence to adopt binding acts, these letters intend to start an informal discussion with the Member States before a possible formal infringement procedure. As such these letters cannot be appealed by </w:t>
      </w:r>
      <w:r>
        <w:rPr>
          <w:rFonts w:ascii="Arial" w:hAnsi="Arial" w:cs="Arial"/>
          <w:noProof/>
          <w:lang w:val="en-GB"/>
        </w:rPr>
        <w:t>the Member States before the Court</w:t>
      </w:r>
      <w:r>
        <w:rPr>
          <w:rStyle w:val="FootnoteReference"/>
          <w:noProof/>
        </w:rPr>
        <w:footnoteReference w:id="224"/>
      </w:r>
      <w:r>
        <w:rPr>
          <w:rFonts w:ascii="Arial" w:hAnsi="Arial" w:cs="Arial"/>
          <w:noProof/>
          <w:lang w:val="en-GB"/>
        </w:rPr>
        <w:t>.</w:t>
      </w:r>
    </w:p>
    <w:p w:rsidR="00E26342" w:rsidRDefault="00040788">
      <w:pPr>
        <w:pStyle w:val="AnnualReport2"/>
        <w:numPr>
          <w:ilvl w:val="0"/>
          <w:numId w:val="63"/>
        </w:numPr>
        <w:ind w:left="709" w:hanging="425"/>
        <w:rPr>
          <w:noProof/>
        </w:rPr>
      </w:pPr>
      <w:r>
        <w:rPr>
          <w:noProof/>
        </w:rPr>
        <w:t>Preliminary rulings</w:t>
      </w:r>
    </w:p>
    <w:p w:rsidR="00E26342" w:rsidRDefault="00040788">
      <w:pPr>
        <w:pStyle w:val="Body"/>
        <w:rPr>
          <w:noProof/>
          <w:lang w:val="en-GB"/>
        </w:rPr>
      </w:pPr>
      <w:r>
        <w:rPr>
          <w:noProof/>
          <w:lang w:val="en-GB"/>
        </w:rPr>
        <w:t xml:space="preserve">The Court addressed the following preliminary rulings to the Romanian judiciary. </w:t>
      </w:r>
    </w:p>
    <w:p w:rsidR="00E26342" w:rsidRDefault="00040788">
      <w:pPr>
        <w:pStyle w:val="Lijstje2"/>
        <w:spacing w:after="200"/>
        <w:ind w:left="1276" w:hanging="425"/>
        <w:rPr>
          <w:rFonts w:ascii="Arial" w:hAnsi="Arial" w:cs="Arial"/>
          <w:noProof/>
          <w:lang w:val="en-GB"/>
        </w:rPr>
      </w:pPr>
      <w:r>
        <w:rPr>
          <w:rFonts w:ascii="Arial" w:hAnsi="Arial" w:cs="Arial"/>
          <w:noProof/>
          <w:lang w:val="en-GB"/>
        </w:rPr>
        <w:t xml:space="preserve">National provisions terminating the authorisation to ride mopeds without holding a driving licence, the issue of </w:t>
      </w:r>
      <w:r>
        <w:rPr>
          <w:rFonts w:ascii="Arial" w:hAnsi="Arial" w:cs="Arial"/>
          <w:noProof/>
          <w:lang w:val="en-GB"/>
        </w:rPr>
        <w:t>which is subject to passing tests or examination, are compliant with EU law</w:t>
      </w:r>
      <w:r>
        <w:rPr>
          <w:rStyle w:val="FootnoteReference"/>
          <w:noProof/>
        </w:rPr>
        <w:footnoteReference w:id="225"/>
      </w:r>
      <w:r>
        <w:rPr>
          <w:rFonts w:ascii="Arial" w:hAnsi="Arial" w:cs="Arial"/>
          <w:noProof/>
          <w:lang w:val="en-GB"/>
        </w:rPr>
        <w:t>.</w:t>
      </w:r>
    </w:p>
    <w:p w:rsidR="00E26342" w:rsidRDefault="00040788">
      <w:pPr>
        <w:pStyle w:val="Lijstje2"/>
        <w:spacing w:after="200"/>
        <w:ind w:left="1276" w:hanging="425"/>
        <w:rPr>
          <w:rFonts w:ascii="Arial" w:hAnsi="Arial" w:cs="Arial"/>
          <w:noProof/>
          <w:lang w:val="en-GB"/>
        </w:rPr>
      </w:pPr>
      <w:r>
        <w:rPr>
          <w:rFonts w:ascii="Arial" w:hAnsi="Arial" w:cs="Arial"/>
          <w:noProof/>
          <w:lang w:val="en-GB"/>
        </w:rPr>
        <w:t>When a financial institution grants a loan denominated in a foreign currency, it</w:t>
      </w:r>
      <w:r>
        <w:rPr>
          <w:rFonts w:ascii="Arial" w:hAnsi="Arial" w:cs="Arial"/>
          <w:iCs/>
          <w:noProof/>
          <w:lang w:val="en-GB"/>
        </w:rPr>
        <w:t xml:space="preserve"> must provide the borrower with sufficient information to enable him to take a prudent and well-in</w:t>
      </w:r>
      <w:r>
        <w:rPr>
          <w:rFonts w:ascii="Arial" w:hAnsi="Arial" w:cs="Arial"/>
          <w:iCs/>
          <w:noProof/>
          <w:lang w:val="en-GB"/>
        </w:rPr>
        <w:t>formed decision and to evaluate the economic consequences of such clause on his financial obligations</w:t>
      </w:r>
      <w:r>
        <w:rPr>
          <w:rStyle w:val="FootnoteReference"/>
          <w:rFonts w:ascii="Arial" w:hAnsi="Arial" w:cs="Arial"/>
          <w:bCs/>
          <w:noProof/>
          <w:lang w:val="en-GB"/>
        </w:rPr>
        <w:footnoteReference w:id="226"/>
      </w:r>
      <w:r>
        <w:rPr>
          <w:rFonts w:ascii="Arial" w:hAnsi="Arial" w:cs="Arial"/>
          <w:iCs/>
          <w:noProof/>
          <w:lang w:val="en-GB"/>
        </w:rPr>
        <w:t>.</w:t>
      </w:r>
    </w:p>
    <w:p w:rsidR="00E26342" w:rsidRDefault="00E26342">
      <w:pPr>
        <w:pStyle w:val="Lijstje2"/>
        <w:numPr>
          <w:ilvl w:val="0"/>
          <w:numId w:val="0"/>
        </w:numPr>
        <w:rPr>
          <w:rFonts w:ascii="Arial" w:hAnsi="Arial" w:cs="Arial"/>
          <w:noProof/>
          <w:lang w:val="en-GB"/>
        </w:rPr>
      </w:pPr>
    </w:p>
    <w:p w:rsidR="00E26342" w:rsidRDefault="00E26342">
      <w:pPr>
        <w:spacing w:after="0"/>
        <w:jc w:val="left"/>
        <w:rPr>
          <w:noProof/>
        </w:rPr>
        <w:sectPr w:rsidR="00E26342">
          <w:headerReference w:type="even" r:id="rId149"/>
          <w:headerReference w:type="default" r:id="rId150"/>
          <w:footerReference w:type="even" r:id="rId151"/>
          <w:footerReference w:type="default" r:id="rId152"/>
          <w:headerReference w:type="first" r:id="rId153"/>
          <w:footerReference w:type="first" r:id="rId154"/>
          <w:footnotePr>
            <w:numRestart w:val="eachSect"/>
          </w:footnotePr>
          <w:pgSz w:w="11906" w:h="16838"/>
          <w:pgMar w:top="1701" w:right="1417" w:bottom="1134" w:left="1417" w:header="567" w:footer="351" w:gutter="0"/>
          <w:cols w:space="708"/>
          <w:titlePg/>
          <w:docGrid w:linePitch="360"/>
        </w:sectPr>
      </w:pPr>
    </w:p>
    <w:p w:rsidR="00E26342" w:rsidRDefault="00040788">
      <w:pPr>
        <w:pStyle w:val="Heading1"/>
        <w:rPr>
          <w:noProof/>
        </w:rPr>
      </w:pPr>
      <w:bookmarkStart w:id="43" w:name="_Toc475974662"/>
      <w:bookmarkStart w:id="44" w:name="_Toc475980158"/>
      <w:bookmarkStart w:id="45" w:name="_Toc475981407"/>
      <w:bookmarkStart w:id="46" w:name="_Toc484622340"/>
      <w:bookmarkStart w:id="47" w:name="_Toc510015289"/>
      <w:bookmarkStart w:id="48" w:name="_Toc475974661"/>
      <w:bookmarkStart w:id="49" w:name="_Toc475980157"/>
      <w:bookmarkStart w:id="50" w:name="_Toc475981406"/>
      <w:r>
        <w:rPr>
          <w:noProof/>
        </w:rPr>
        <w:t>Slovenia</w:t>
      </w:r>
      <w:bookmarkEnd w:id="43"/>
      <w:bookmarkEnd w:id="44"/>
      <w:bookmarkEnd w:id="45"/>
      <w:bookmarkEnd w:id="46"/>
      <w:bookmarkEnd w:id="47"/>
    </w:p>
    <w:p w:rsidR="00E26342" w:rsidRDefault="00040788">
      <w:pPr>
        <w:pStyle w:val="kop2"/>
        <w:numPr>
          <w:ilvl w:val="0"/>
          <w:numId w:val="42"/>
        </w:numPr>
        <w:spacing w:before="360" w:after="240"/>
        <w:ind w:left="709" w:hanging="425"/>
        <w:rPr>
          <w:noProof/>
        </w:rPr>
      </w:pPr>
      <w:r>
        <w:rPr>
          <w:noProof/>
        </w:rPr>
        <w:t>COMPLAINTS</w:t>
      </w:r>
    </w:p>
    <w:p w:rsidR="00E26342" w:rsidRDefault="00040788">
      <w:pPr>
        <w:pStyle w:val="AnnualReport2"/>
        <w:numPr>
          <w:ilvl w:val="0"/>
          <w:numId w:val="70"/>
        </w:numPr>
        <w:ind w:left="709" w:hanging="425"/>
        <w:rPr>
          <w:noProof/>
        </w:rPr>
      </w:pPr>
      <w:r>
        <w:rPr>
          <w:noProof/>
        </w:rPr>
        <w:t>New complaints made against Slovenia by members of the public (2013-2017)</w:t>
      </w:r>
    </w:p>
    <w:p w:rsidR="00E26342" w:rsidRDefault="00040788">
      <w:pPr>
        <w:ind w:firstLine="709"/>
        <w:rPr>
          <w:rFonts w:ascii="Arial" w:hAnsi="Arial" w:cs="Arial"/>
          <w:noProof/>
          <w:sz w:val="20"/>
        </w:rPr>
      </w:pPr>
      <w:r>
        <w:rPr>
          <w:rFonts w:ascii="Arial" w:hAnsi="Arial" w:cs="Arial"/>
          <w:noProof/>
          <w:sz w:val="20"/>
          <w:lang w:eastAsia="en-GB"/>
        </w:rPr>
        <w:drawing>
          <wp:inline distT="0" distB="0" distL="0" distR="0" wp14:anchorId="2D36FAAB" wp14:editId="313B448B">
            <wp:extent cx="4612005" cy="2154555"/>
            <wp:effectExtent l="0" t="0" r="0" b="0"/>
            <wp:docPr id="255"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rsidR="00E26342" w:rsidRDefault="00040788">
      <w:pPr>
        <w:pStyle w:val="AnnualReport2"/>
        <w:numPr>
          <w:ilvl w:val="0"/>
          <w:numId w:val="63"/>
        </w:numPr>
        <w:ind w:left="709" w:hanging="425"/>
        <w:rPr>
          <w:noProof/>
        </w:rPr>
      </w:pPr>
      <w:r>
        <w:rPr>
          <w:noProof/>
        </w:rPr>
        <w:t>Public complaints against Slovenia open at year-end</w:t>
      </w:r>
    </w:p>
    <w:tbl>
      <w:tblPr>
        <w:tblW w:w="0" w:type="auto"/>
        <w:jc w:val="center"/>
        <w:tblLook w:val="04A0" w:firstRow="1" w:lastRow="0" w:firstColumn="1" w:lastColumn="0" w:noHBand="0" w:noVBand="1"/>
      </w:tblPr>
      <w:tblGrid>
        <w:gridCol w:w="1697"/>
        <w:gridCol w:w="355"/>
        <w:gridCol w:w="5310"/>
      </w:tblGrid>
      <w:tr w:rsidR="00E26342">
        <w:trPr>
          <w:trHeight w:val="403"/>
          <w:jc w:val="center"/>
        </w:trPr>
        <w:tc>
          <w:tcPr>
            <w:tcW w:w="1697" w:type="dxa"/>
            <w:shd w:val="clear" w:color="auto" w:fill="auto"/>
            <w:vAlign w:val="center"/>
          </w:tcPr>
          <w:p w:rsidR="00E26342" w:rsidRDefault="00040788">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41</w:t>
            </w:r>
          </w:p>
        </w:tc>
        <w:tc>
          <w:tcPr>
            <w:tcW w:w="355" w:type="dxa"/>
            <w:shd w:val="clear" w:color="auto" w:fill="auto"/>
            <w:vAlign w:val="center"/>
          </w:tcPr>
          <w:p w:rsidR="00E26342" w:rsidRDefault="00040788">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E26342" w:rsidRDefault="00040788">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Complaints open at end-2016</w:t>
            </w:r>
          </w:p>
        </w:tc>
      </w:tr>
      <w:tr w:rsidR="00E26342">
        <w:trPr>
          <w:trHeight w:val="403"/>
          <w:jc w:val="center"/>
        </w:trPr>
        <w:tc>
          <w:tcPr>
            <w:tcW w:w="1697" w:type="dxa"/>
            <w:shd w:val="clear" w:color="auto" w:fill="auto"/>
            <w:vAlign w:val="center"/>
          </w:tcPr>
          <w:p w:rsidR="00E26342" w:rsidRDefault="00040788">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42</w:t>
            </w:r>
          </w:p>
        </w:tc>
        <w:tc>
          <w:tcPr>
            <w:tcW w:w="355" w:type="dxa"/>
            <w:shd w:val="clear" w:color="auto" w:fill="auto"/>
            <w:vAlign w:val="center"/>
          </w:tcPr>
          <w:p w:rsidR="00E26342" w:rsidRDefault="00040788">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E26342" w:rsidRDefault="00040788">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New complaints registered in 2017</w:t>
            </w:r>
          </w:p>
        </w:tc>
      </w:tr>
      <w:tr w:rsidR="00E26342">
        <w:trPr>
          <w:trHeight w:val="403"/>
          <w:jc w:val="center"/>
        </w:trPr>
        <w:tc>
          <w:tcPr>
            <w:tcW w:w="1697" w:type="dxa"/>
            <w:tcBorders>
              <w:bottom w:val="single" w:sz="24" w:space="0" w:color="548DD4"/>
            </w:tcBorders>
            <w:shd w:val="clear" w:color="auto" w:fill="auto"/>
            <w:vAlign w:val="center"/>
          </w:tcPr>
          <w:p w:rsidR="00E26342" w:rsidRDefault="00040788">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36</w:t>
            </w:r>
          </w:p>
        </w:tc>
        <w:tc>
          <w:tcPr>
            <w:tcW w:w="355" w:type="dxa"/>
            <w:shd w:val="clear" w:color="auto" w:fill="auto"/>
            <w:vAlign w:val="center"/>
          </w:tcPr>
          <w:p w:rsidR="00E26342" w:rsidRDefault="00040788">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E26342" w:rsidRDefault="00040788">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Complaints handled in 2017</w:t>
            </w:r>
          </w:p>
        </w:tc>
      </w:tr>
      <w:tr w:rsidR="00E26342">
        <w:trPr>
          <w:trHeight w:val="403"/>
          <w:jc w:val="center"/>
        </w:trPr>
        <w:tc>
          <w:tcPr>
            <w:tcW w:w="1697" w:type="dxa"/>
            <w:tcBorders>
              <w:top w:val="single" w:sz="24" w:space="0" w:color="548DD4"/>
            </w:tcBorders>
            <w:shd w:val="clear" w:color="auto" w:fill="auto"/>
            <w:vAlign w:val="center"/>
          </w:tcPr>
          <w:p w:rsidR="00E26342" w:rsidRDefault="00040788">
            <w:pPr>
              <w:spacing w:after="0"/>
              <w:jc w:val="right"/>
              <w:rPr>
                <w:rFonts w:ascii="Arial" w:hAnsi="Arial" w:cs="Arial"/>
                <w:noProof/>
                <w:color w:val="C00000"/>
                <w:sz w:val="22"/>
                <w:szCs w:val="28"/>
                <w:lang w:eastAsia="en-GB"/>
              </w:rPr>
            </w:pPr>
            <w:r>
              <w:rPr>
                <w:rFonts w:ascii="Arial" w:hAnsi="Arial" w:cs="Arial"/>
                <w:noProof/>
                <w:color w:val="C00000"/>
                <w:sz w:val="22"/>
                <w:szCs w:val="28"/>
                <w:lang w:eastAsia="en-GB"/>
              </w:rPr>
              <w:t>= 47</w:t>
            </w:r>
          </w:p>
        </w:tc>
        <w:tc>
          <w:tcPr>
            <w:tcW w:w="355" w:type="dxa"/>
            <w:shd w:val="clear" w:color="auto" w:fill="auto"/>
            <w:vAlign w:val="center"/>
          </w:tcPr>
          <w:p w:rsidR="00E26342" w:rsidRDefault="00040788">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E26342" w:rsidRDefault="00040788">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Complaints open at end-2017</w:t>
            </w:r>
          </w:p>
        </w:tc>
      </w:tr>
    </w:tbl>
    <w:p w:rsidR="00E26342" w:rsidRDefault="00040788">
      <w:pPr>
        <w:pStyle w:val="AnnualReport2"/>
        <w:numPr>
          <w:ilvl w:val="0"/>
          <w:numId w:val="63"/>
        </w:numPr>
        <w:ind w:left="709" w:hanging="425"/>
        <w:rPr>
          <w:noProof/>
        </w:rPr>
      </w:pPr>
      <w:r>
        <w:rPr>
          <w:noProof/>
        </w:rPr>
        <w:t>New complaints registered in 2017: main policy areas</w:t>
      </w:r>
    </w:p>
    <w:p w:rsidR="00E26342" w:rsidRDefault="00040788">
      <w:pPr>
        <w:spacing w:before="360"/>
        <w:ind w:firstLine="709"/>
        <w:rPr>
          <w:rFonts w:ascii="Arial" w:hAnsi="Arial" w:cs="Arial"/>
          <w:noProof/>
          <w:sz w:val="20"/>
        </w:rPr>
      </w:pPr>
      <w:r>
        <w:rPr>
          <w:rFonts w:ascii="Arial" w:hAnsi="Arial" w:cs="Arial"/>
          <w:noProof/>
          <w:sz w:val="20"/>
          <w:lang w:eastAsia="en-GB"/>
        </w:rPr>
        <w:drawing>
          <wp:inline distT="0" distB="0" distL="0" distR="0" wp14:anchorId="49C15AD8" wp14:editId="19C6DBD9">
            <wp:extent cx="5096510" cy="2600325"/>
            <wp:effectExtent l="0" t="0" r="27940" b="9525"/>
            <wp:docPr id="256" name="Grafiek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rsidR="00E26342" w:rsidRDefault="00040788">
      <w:pPr>
        <w:spacing w:after="200" w:line="276" w:lineRule="auto"/>
        <w:jc w:val="left"/>
        <w:rPr>
          <w:rFonts w:ascii="Arial" w:hAnsi="Arial" w:cs="Arial"/>
          <w:noProof/>
          <w:sz w:val="20"/>
        </w:rPr>
      </w:pPr>
      <w:r>
        <w:rPr>
          <w:noProof/>
        </w:rPr>
        <w:br w:type="page"/>
      </w:r>
    </w:p>
    <w:p w:rsidR="00E26342" w:rsidRDefault="00040788">
      <w:pPr>
        <w:pStyle w:val="AnnualReport1"/>
        <w:spacing w:after="240"/>
        <w:ind w:left="709" w:hanging="425"/>
        <w:rPr>
          <w:noProof/>
        </w:rPr>
      </w:pPr>
      <w:r>
        <w:rPr>
          <w:noProof/>
        </w:rPr>
        <w:t>EU PILOT</w:t>
      </w:r>
    </w:p>
    <w:p w:rsidR="00E26342" w:rsidRDefault="00040788">
      <w:pPr>
        <w:pStyle w:val="AnnualReport2"/>
        <w:numPr>
          <w:ilvl w:val="0"/>
          <w:numId w:val="71"/>
        </w:numPr>
        <w:ind w:left="709" w:hanging="425"/>
        <w:rPr>
          <w:noProof/>
        </w:rPr>
      </w:pPr>
      <w:r>
        <w:rPr>
          <w:noProof/>
        </w:rPr>
        <w:t xml:space="preserve">New EU Pilot files opened against Slovenia </w:t>
      </w:r>
      <w:r>
        <w:rPr>
          <w:noProof/>
        </w:rPr>
        <w:t>(2013-2017)</w:t>
      </w:r>
    </w:p>
    <w:p w:rsidR="00E26342" w:rsidRDefault="00040788">
      <w:pPr>
        <w:tabs>
          <w:tab w:val="left" w:pos="0"/>
        </w:tabs>
        <w:ind w:firstLine="709"/>
        <w:rPr>
          <w:rFonts w:ascii="Arial" w:hAnsi="Arial" w:cs="Arial"/>
          <w:noProof/>
          <w:sz w:val="20"/>
        </w:rPr>
      </w:pPr>
      <w:r>
        <w:rPr>
          <w:rFonts w:ascii="Arial" w:hAnsi="Arial" w:cs="Arial"/>
          <w:noProof/>
          <w:sz w:val="20"/>
          <w:lang w:eastAsia="en-GB"/>
        </w:rPr>
        <w:drawing>
          <wp:inline distT="0" distB="0" distL="0" distR="0" wp14:anchorId="7CECE354" wp14:editId="26DA0301">
            <wp:extent cx="4587875" cy="2353310"/>
            <wp:effectExtent l="0" t="0" r="0" b="0"/>
            <wp:docPr id="257"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rsidR="00E26342" w:rsidRDefault="00040788">
      <w:pPr>
        <w:pStyle w:val="AnnualReport2"/>
        <w:numPr>
          <w:ilvl w:val="0"/>
          <w:numId w:val="63"/>
        </w:numPr>
        <w:ind w:left="709" w:hanging="425"/>
        <w:rPr>
          <w:noProof/>
        </w:rPr>
      </w:pPr>
      <w:r>
        <w:rPr>
          <w:noProof/>
        </w:rPr>
        <w:t>Files relating to Slovenia open in EU Pilot at year-end</w:t>
      </w:r>
    </w:p>
    <w:p w:rsidR="00E26342" w:rsidRDefault="00040788">
      <w:pPr>
        <w:spacing w:after="120"/>
        <w:ind w:firstLine="709"/>
        <w:rPr>
          <w:rFonts w:ascii="Arial" w:hAnsi="Arial" w:cs="Arial"/>
          <w:noProof/>
          <w:sz w:val="20"/>
        </w:rPr>
      </w:pPr>
      <w:r>
        <w:rPr>
          <w:rFonts w:ascii="Arial" w:hAnsi="Arial" w:cs="Arial"/>
          <w:noProof/>
          <w:sz w:val="20"/>
          <w:lang w:eastAsia="en-GB"/>
        </w:rPr>
        <w:drawing>
          <wp:inline distT="0" distB="0" distL="0" distR="0" wp14:anchorId="14B21003" wp14:editId="0E1D03FB">
            <wp:extent cx="4587875" cy="2353310"/>
            <wp:effectExtent l="0" t="0" r="0" b="0"/>
            <wp:docPr id="258"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rsidR="00E26342" w:rsidRDefault="00040788">
      <w:pPr>
        <w:pStyle w:val="AnnualReport2"/>
        <w:numPr>
          <w:ilvl w:val="0"/>
          <w:numId w:val="63"/>
        </w:numPr>
        <w:ind w:left="709" w:hanging="425"/>
        <w:rPr>
          <w:noProof/>
        </w:rPr>
      </w:pPr>
      <w:r>
        <w:rPr>
          <w:noProof/>
        </w:rPr>
        <w:t>New EU Pilot files opened in 2017: policy areas</w:t>
      </w:r>
    </w:p>
    <w:p w:rsidR="00E26342" w:rsidRDefault="00040788">
      <w:pPr>
        <w:spacing w:before="360"/>
        <w:ind w:firstLine="709"/>
        <w:rPr>
          <w:rFonts w:ascii="Arial" w:hAnsi="Arial" w:cs="Arial"/>
          <w:noProof/>
          <w:sz w:val="20"/>
        </w:rPr>
      </w:pPr>
      <w:r>
        <w:rPr>
          <w:rFonts w:ascii="Arial" w:hAnsi="Arial" w:cs="Arial"/>
          <w:noProof/>
          <w:sz w:val="20"/>
          <w:lang w:eastAsia="en-GB"/>
        </w:rPr>
        <w:drawing>
          <wp:inline distT="0" distB="0" distL="0" distR="0" wp14:anchorId="0A2E7334" wp14:editId="33063C27">
            <wp:extent cx="4643755" cy="2417445"/>
            <wp:effectExtent l="0" t="0" r="23495" b="20955"/>
            <wp:docPr id="259" name="Grafiek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rsidR="00E26342" w:rsidRDefault="00040788">
      <w:pPr>
        <w:pStyle w:val="AnnualReport2"/>
        <w:numPr>
          <w:ilvl w:val="0"/>
          <w:numId w:val="63"/>
        </w:numPr>
        <w:ind w:left="709" w:hanging="425"/>
        <w:rPr>
          <w:noProof/>
        </w:rPr>
      </w:pPr>
      <w:r>
        <w:rPr>
          <w:noProof/>
        </w:rPr>
        <w:t>EU Pilot files: Slovenia’s resolution rate in 2013-2017</w:t>
      </w:r>
    </w:p>
    <w:p w:rsidR="00E26342" w:rsidRDefault="00040788">
      <w:pPr>
        <w:spacing w:before="360"/>
        <w:ind w:firstLine="709"/>
        <w:rPr>
          <w:rFonts w:ascii="Arial" w:hAnsi="Arial" w:cs="Arial"/>
          <w:noProof/>
          <w:sz w:val="20"/>
        </w:rPr>
      </w:pPr>
      <w:r>
        <w:rPr>
          <w:rFonts w:ascii="Arial" w:hAnsi="Arial" w:cs="Arial"/>
          <w:noProof/>
          <w:sz w:val="20"/>
          <w:lang w:eastAsia="en-GB"/>
        </w:rPr>
        <w:drawing>
          <wp:inline distT="0" distB="0" distL="0" distR="0" wp14:anchorId="113E68BB" wp14:editId="22448921">
            <wp:extent cx="4602480" cy="2095500"/>
            <wp:effectExtent l="0" t="0" r="26670" b="19050"/>
            <wp:docPr id="260"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rsidR="00E26342" w:rsidRDefault="00040788">
      <w:pPr>
        <w:pStyle w:val="AnnualReport1"/>
        <w:spacing w:after="240"/>
        <w:ind w:left="709" w:hanging="425"/>
        <w:rPr>
          <w:noProof/>
        </w:rPr>
      </w:pPr>
      <w:r>
        <w:rPr>
          <w:noProof/>
        </w:rPr>
        <w:t>INFRINGEMENT CASES</w:t>
      </w:r>
    </w:p>
    <w:p w:rsidR="00E26342" w:rsidRDefault="00040788">
      <w:pPr>
        <w:pStyle w:val="AnnualReport2"/>
        <w:numPr>
          <w:ilvl w:val="0"/>
          <w:numId w:val="72"/>
        </w:numPr>
        <w:ind w:left="709" w:hanging="425"/>
        <w:rPr>
          <w:noProof/>
        </w:rPr>
      </w:pPr>
      <w:r>
        <w:rPr>
          <w:noProof/>
        </w:rPr>
        <w:t xml:space="preserve">Infringement cases against Slovenia open on 31 December </w:t>
      </w:r>
      <w:r>
        <w:rPr>
          <w:noProof/>
        </w:rPr>
        <w:t>(2013-2017)</w:t>
      </w:r>
    </w:p>
    <w:p w:rsidR="00E26342" w:rsidRDefault="00040788">
      <w:pPr>
        <w:spacing w:after="120"/>
        <w:ind w:firstLine="709"/>
        <w:rPr>
          <w:rFonts w:ascii="Arial" w:hAnsi="Arial" w:cs="Arial"/>
          <w:noProof/>
          <w:sz w:val="20"/>
        </w:rPr>
      </w:pPr>
      <w:r>
        <w:rPr>
          <w:rFonts w:ascii="Arial" w:hAnsi="Arial" w:cs="Arial"/>
          <w:noProof/>
          <w:sz w:val="20"/>
          <w:lang w:eastAsia="en-GB"/>
        </w:rPr>
        <w:drawing>
          <wp:inline distT="0" distB="0" distL="0" distR="0" wp14:anchorId="3A4D7D7F" wp14:editId="49D4480E">
            <wp:extent cx="4596130" cy="1932305"/>
            <wp:effectExtent l="0" t="0" r="0" b="0"/>
            <wp:docPr id="261" name="Grafiek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rsidR="00E26342" w:rsidRDefault="00040788">
      <w:pPr>
        <w:pStyle w:val="AnnualReport2"/>
        <w:numPr>
          <w:ilvl w:val="0"/>
          <w:numId w:val="63"/>
        </w:numPr>
        <w:ind w:left="709" w:hanging="425"/>
        <w:rPr>
          <w:noProof/>
        </w:rPr>
      </w:pPr>
      <w:r>
        <w:rPr>
          <w:noProof/>
        </w:rPr>
        <w:t>New infringement cases opened in 2017: main policy areas</w:t>
      </w:r>
    </w:p>
    <w:p w:rsidR="00E26342" w:rsidRDefault="00040788">
      <w:pPr>
        <w:spacing w:after="120"/>
        <w:ind w:firstLine="709"/>
        <w:rPr>
          <w:rFonts w:ascii="Arial" w:hAnsi="Arial" w:cs="Arial"/>
          <w:noProof/>
          <w:sz w:val="20"/>
        </w:rPr>
      </w:pPr>
      <w:r>
        <w:rPr>
          <w:rFonts w:ascii="Arial" w:hAnsi="Arial" w:cs="Arial"/>
          <w:noProof/>
          <w:sz w:val="20"/>
          <w:lang w:eastAsia="en-GB"/>
        </w:rPr>
        <w:drawing>
          <wp:inline distT="0" distB="0" distL="0" distR="0" wp14:anchorId="6FDD0F89" wp14:editId="0EA9DB6E">
            <wp:extent cx="4594860" cy="2545080"/>
            <wp:effectExtent l="0" t="0" r="15240" b="26670"/>
            <wp:docPr id="262" name="Object 2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rsidR="00E26342" w:rsidRDefault="00040788">
      <w:pPr>
        <w:spacing w:after="0"/>
        <w:jc w:val="left"/>
        <w:rPr>
          <w:rFonts w:ascii="Arial" w:hAnsi="Arial" w:cs="Arial"/>
          <w:noProof/>
          <w:sz w:val="20"/>
        </w:rPr>
      </w:pPr>
      <w:r>
        <w:rPr>
          <w:rFonts w:ascii="Arial" w:hAnsi="Arial" w:cs="Arial"/>
          <w:noProof/>
          <w:sz w:val="20"/>
        </w:rPr>
        <w:br w:type="page"/>
      </w:r>
    </w:p>
    <w:p w:rsidR="00E26342" w:rsidRDefault="00040788">
      <w:pPr>
        <w:pStyle w:val="AnnualReport2"/>
        <w:numPr>
          <w:ilvl w:val="0"/>
          <w:numId w:val="63"/>
        </w:numPr>
        <w:ind w:left="709" w:hanging="425"/>
        <w:rPr>
          <w:noProof/>
        </w:rPr>
      </w:pPr>
      <w:r>
        <w:rPr>
          <w:noProof/>
        </w:rPr>
        <w:t>Key infringement cases and referrals to the Court</w:t>
      </w:r>
    </w:p>
    <w:p w:rsidR="00E26342" w:rsidRDefault="00040788">
      <w:pPr>
        <w:pStyle w:val="Lijstje"/>
        <w:numPr>
          <w:ilvl w:val="0"/>
          <w:numId w:val="43"/>
        </w:numPr>
        <w:ind w:left="1276" w:hanging="425"/>
        <w:rPr>
          <w:noProof/>
        </w:rPr>
      </w:pPr>
      <w:r>
        <w:rPr>
          <w:noProof/>
        </w:rPr>
        <w:t>The Commission opened 29 new infringement cases against Slovenia in 2017. These, and other major ongoing infringement cases, includ</w:t>
      </w:r>
      <w:r>
        <w:rPr>
          <w:noProof/>
        </w:rPr>
        <w:t>e:</w:t>
      </w:r>
    </w:p>
    <w:p w:rsidR="00E26342" w:rsidRDefault="00040788">
      <w:pPr>
        <w:pStyle w:val="Lijstje2"/>
        <w:spacing w:after="200"/>
        <w:ind w:left="1843" w:hanging="425"/>
        <w:rPr>
          <w:rFonts w:ascii="Arial" w:hAnsi="Arial" w:cs="Arial"/>
          <w:noProof/>
          <w:lang w:val="en-GB"/>
        </w:rPr>
      </w:pPr>
      <w:r>
        <w:rPr>
          <w:rFonts w:ascii="Arial" w:hAnsi="Arial" w:cs="Arial"/>
          <w:noProof/>
          <w:lang w:val="en-GB"/>
        </w:rPr>
        <w:t xml:space="preserve">failure to </w:t>
      </w:r>
      <w:r>
        <w:rPr>
          <w:rFonts w:ascii="Arial" w:eastAsia="Times New Roman" w:hAnsi="Arial" w:cs="Arial"/>
          <w:noProof/>
          <w:kern w:val="0"/>
          <w:lang w:val="en-GB"/>
        </w:rPr>
        <w:t>comply</w:t>
      </w:r>
      <w:r>
        <w:rPr>
          <w:rFonts w:ascii="Arial" w:hAnsi="Arial" w:cs="Arial"/>
          <w:noProof/>
          <w:lang w:val="en-GB"/>
        </w:rPr>
        <w:t xml:space="preserve"> with reporting obligations under EU waste legislation</w:t>
      </w:r>
      <w:r>
        <w:rPr>
          <w:rStyle w:val="FootnoteReference"/>
          <w:rFonts w:ascii="Arial" w:hAnsi="Arial" w:cs="Arial"/>
          <w:noProof/>
          <w:lang w:val="en-GB"/>
        </w:rPr>
        <w:footnoteReference w:id="227"/>
      </w:r>
      <w:r>
        <w:rPr>
          <w:rFonts w:ascii="Arial" w:hAnsi="Arial" w:cs="Arial"/>
          <w:noProof/>
          <w:lang w:val="en-GB"/>
        </w:rPr>
        <w:t>;</w:t>
      </w:r>
    </w:p>
    <w:p w:rsidR="00E26342" w:rsidRDefault="00040788">
      <w:pPr>
        <w:pStyle w:val="Lijstje2"/>
        <w:spacing w:after="200"/>
        <w:ind w:left="1843" w:hanging="425"/>
        <w:rPr>
          <w:rFonts w:ascii="Arial" w:hAnsi="Arial" w:cs="Arial"/>
          <w:noProof/>
          <w:lang w:val="en-GB"/>
        </w:rPr>
      </w:pPr>
      <w:r>
        <w:rPr>
          <w:rFonts w:ascii="Arial" w:hAnsi="Arial" w:cs="Arial"/>
          <w:noProof/>
          <w:lang w:val="en-GB"/>
        </w:rPr>
        <w:t>non-conformity of national legislation with the Birds and Habitats Directives</w:t>
      </w:r>
      <w:r>
        <w:rPr>
          <w:rStyle w:val="FootnoteReference"/>
          <w:rFonts w:ascii="Arial" w:hAnsi="Arial" w:cs="Arial"/>
          <w:noProof/>
          <w:lang w:val="en-GB"/>
        </w:rPr>
        <w:footnoteReference w:id="228"/>
      </w:r>
      <w:r>
        <w:rPr>
          <w:rFonts w:ascii="Arial" w:hAnsi="Arial" w:cs="Arial"/>
          <w:noProof/>
          <w:lang w:val="en-GB"/>
        </w:rPr>
        <w:t>;</w:t>
      </w:r>
    </w:p>
    <w:p w:rsidR="00E26342" w:rsidRDefault="00040788">
      <w:pPr>
        <w:pStyle w:val="Lijstje2"/>
        <w:spacing w:after="200"/>
        <w:ind w:left="1843" w:hanging="425"/>
        <w:rPr>
          <w:rFonts w:ascii="Arial" w:hAnsi="Arial" w:cs="Arial"/>
          <w:noProof/>
          <w:lang w:val="en-GB"/>
        </w:rPr>
      </w:pPr>
      <w:r>
        <w:rPr>
          <w:rFonts w:ascii="Arial" w:hAnsi="Arial" w:cs="Arial"/>
          <w:noProof/>
          <w:lang w:val="en-GB"/>
        </w:rPr>
        <w:t>failure to ensure that urban waste water is adequately treated;</w:t>
      </w:r>
    </w:p>
    <w:p w:rsidR="00E26342" w:rsidRDefault="00040788">
      <w:pPr>
        <w:pStyle w:val="Lijstje2"/>
        <w:spacing w:after="200"/>
        <w:ind w:left="1843" w:hanging="425"/>
        <w:rPr>
          <w:rFonts w:ascii="Arial" w:hAnsi="Arial" w:cs="Arial"/>
          <w:noProof/>
          <w:lang w:val="en-GB"/>
        </w:rPr>
      </w:pPr>
      <w:r>
        <w:rPr>
          <w:rFonts w:ascii="Arial" w:hAnsi="Arial" w:cs="Arial"/>
          <w:noProof/>
          <w:lang w:val="en-GB"/>
        </w:rPr>
        <w:t xml:space="preserve">non-reporting of flood risk </w:t>
      </w:r>
      <w:r>
        <w:rPr>
          <w:rFonts w:ascii="Arial" w:hAnsi="Arial" w:cs="Arial"/>
          <w:noProof/>
          <w:lang w:val="en-GB"/>
        </w:rPr>
        <w:t>management plans under the Floods Directive</w:t>
      </w:r>
      <w:r>
        <w:rPr>
          <w:rStyle w:val="FootnoteReference"/>
          <w:rFonts w:ascii="Arial" w:hAnsi="Arial" w:cs="Arial"/>
          <w:noProof/>
          <w:lang w:val="en-GB"/>
        </w:rPr>
        <w:footnoteReference w:id="229"/>
      </w:r>
      <w:r>
        <w:rPr>
          <w:rFonts w:ascii="Arial" w:hAnsi="Arial" w:cs="Arial"/>
          <w:noProof/>
          <w:lang w:val="en-GB"/>
        </w:rPr>
        <w:t>;</w:t>
      </w:r>
    </w:p>
    <w:p w:rsidR="00E26342" w:rsidRDefault="00040788">
      <w:pPr>
        <w:pStyle w:val="Lijstje2"/>
        <w:spacing w:after="200"/>
        <w:ind w:left="1843" w:hanging="425"/>
        <w:rPr>
          <w:rFonts w:ascii="Arial" w:hAnsi="Arial" w:cs="Arial"/>
          <w:noProof/>
          <w:lang w:val="en-GB"/>
        </w:rPr>
      </w:pPr>
      <w:r>
        <w:rPr>
          <w:rFonts w:ascii="Arial" w:hAnsi="Arial" w:cs="Arial"/>
          <w:noProof/>
          <w:lang w:val="en-GB"/>
        </w:rPr>
        <w:t>failure to develop and report on the programmes of measures required by the Marine Strategy Framework Directive</w:t>
      </w:r>
      <w:r>
        <w:rPr>
          <w:rStyle w:val="FootnoteReference"/>
          <w:rFonts w:ascii="Arial" w:hAnsi="Arial" w:cs="Arial"/>
          <w:noProof/>
          <w:lang w:val="en-GB"/>
        </w:rPr>
        <w:footnoteReference w:id="230"/>
      </w:r>
      <w:r>
        <w:rPr>
          <w:rFonts w:ascii="Arial" w:hAnsi="Arial" w:cs="Arial"/>
          <w:noProof/>
          <w:lang w:val="en-GB"/>
        </w:rPr>
        <w:t>;</w:t>
      </w:r>
    </w:p>
    <w:p w:rsidR="00E26342" w:rsidRDefault="00040788">
      <w:pPr>
        <w:pStyle w:val="Lijstje2"/>
        <w:spacing w:after="200"/>
        <w:ind w:left="1843" w:hanging="425"/>
        <w:rPr>
          <w:rFonts w:ascii="Arial" w:hAnsi="Arial" w:cs="Arial"/>
          <w:noProof/>
          <w:lang w:val="en-GB"/>
        </w:rPr>
      </w:pPr>
      <w:r>
        <w:rPr>
          <w:rFonts w:ascii="Arial" w:hAnsi="Arial" w:cs="Arial"/>
          <w:bCs/>
          <w:noProof/>
          <w:lang w:val="en-GB"/>
        </w:rPr>
        <w:t>failure to carry out analysis of the relevant telecom markets on time</w:t>
      </w:r>
      <w:r>
        <w:rPr>
          <w:rStyle w:val="FootnoteReference"/>
          <w:noProof/>
        </w:rPr>
        <w:footnoteReference w:id="231"/>
      </w:r>
      <w:r>
        <w:rPr>
          <w:rFonts w:ascii="Arial" w:hAnsi="Arial" w:cs="Arial"/>
          <w:bCs/>
          <w:noProof/>
          <w:lang w:val="en-GB"/>
        </w:rPr>
        <w:t>;</w:t>
      </w:r>
    </w:p>
    <w:p w:rsidR="00E26342" w:rsidRDefault="00040788">
      <w:pPr>
        <w:pStyle w:val="Lijstje2"/>
        <w:spacing w:after="200"/>
        <w:ind w:left="1843" w:hanging="425"/>
        <w:rPr>
          <w:rFonts w:ascii="Arial" w:hAnsi="Arial" w:cs="Arial"/>
          <w:i/>
          <w:noProof/>
          <w:lang w:val="en-GB"/>
        </w:rPr>
      </w:pPr>
      <w:r>
        <w:rPr>
          <w:rFonts w:ascii="Arial" w:hAnsi="Arial" w:cs="Arial"/>
          <w:noProof/>
          <w:lang w:val="en-GB"/>
        </w:rPr>
        <w:t xml:space="preserve">failure to establish </w:t>
      </w:r>
      <w:r>
        <w:rPr>
          <w:rFonts w:ascii="Arial" w:hAnsi="Arial" w:cs="Arial"/>
          <w:noProof/>
          <w:lang w:val="en-GB"/>
        </w:rPr>
        <w:t>action plans required by the Noise Directive</w:t>
      </w:r>
      <w:r>
        <w:rPr>
          <w:rStyle w:val="FootnoteReference"/>
          <w:rFonts w:ascii="Arial" w:hAnsi="Arial" w:cs="Arial"/>
          <w:noProof/>
          <w:lang w:val="en-GB"/>
        </w:rPr>
        <w:footnoteReference w:id="232"/>
      </w:r>
      <w:r>
        <w:rPr>
          <w:rFonts w:ascii="Arial" w:hAnsi="Arial" w:cs="Arial"/>
          <w:noProof/>
          <w:lang w:val="en-GB"/>
        </w:rPr>
        <w:t>;</w:t>
      </w:r>
    </w:p>
    <w:p w:rsidR="00E26342" w:rsidRDefault="00040788">
      <w:pPr>
        <w:pStyle w:val="Lijstje2"/>
        <w:spacing w:after="200"/>
        <w:ind w:left="1843" w:hanging="425"/>
        <w:rPr>
          <w:rFonts w:ascii="Arial" w:hAnsi="Arial" w:cs="Arial"/>
          <w:noProof/>
          <w:lang w:val="en-GB"/>
        </w:rPr>
      </w:pPr>
      <w:r>
        <w:rPr>
          <w:rFonts w:ascii="Arial" w:hAnsi="Arial" w:cs="Arial"/>
          <w:noProof/>
          <w:lang w:val="en-GB"/>
        </w:rPr>
        <w:t xml:space="preserve">seizure of the European Central Bank’s documents and IT hardware without its prior authorisation as required by Protocol No 7 on the Privileges and Immunities of the EU and in violation of the duty of sincere </w:t>
      </w:r>
      <w:r>
        <w:rPr>
          <w:rFonts w:ascii="Arial" w:hAnsi="Arial" w:cs="Arial"/>
          <w:noProof/>
          <w:lang w:val="en-GB"/>
        </w:rPr>
        <w:t>cooperation</w:t>
      </w:r>
      <w:r>
        <w:rPr>
          <w:rStyle w:val="FootnoteReference"/>
          <w:rFonts w:ascii="Arial" w:hAnsi="Arial" w:cs="Arial"/>
          <w:noProof/>
          <w:lang w:val="en-GB"/>
        </w:rPr>
        <w:footnoteReference w:id="233"/>
      </w:r>
      <w:r>
        <w:rPr>
          <w:rFonts w:ascii="Arial" w:hAnsi="Arial" w:cs="Arial"/>
          <w:noProof/>
          <w:lang w:val="en-GB"/>
        </w:rPr>
        <w:t>;</w:t>
      </w:r>
    </w:p>
    <w:p w:rsidR="00E26342" w:rsidRDefault="00040788">
      <w:pPr>
        <w:pStyle w:val="Lijstje2"/>
        <w:spacing w:after="200"/>
        <w:ind w:left="1843" w:hanging="425"/>
        <w:rPr>
          <w:rFonts w:ascii="Arial" w:hAnsi="Arial" w:cs="Arial"/>
          <w:noProof/>
          <w:lang w:val="en-GB"/>
        </w:rPr>
      </w:pPr>
      <w:r>
        <w:rPr>
          <w:rFonts w:ascii="Arial" w:hAnsi="Arial" w:cs="Arial"/>
          <w:noProof/>
          <w:lang w:val="en-GB"/>
        </w:rPr>
        <w:t>non-communication of national measures transposing the:</w:t>
      </w:r>
    </w:p>
    <w:p w:rsidR="00E26342" w:rsidRDefault="00040788">
      <w:pPr>
        <w:pStyle w:val="Lijstje2"/>
        <w:numPr>
          <w:ilvl w:val="2"/>
          <w:numId w:val="2"/>
        </w:numPr>
        <w:spacing w:after="200"/>
        <w:ind w:left="2410" w:hanging="425"/>
        <w:rPr>
          <w:rFonts w:ascii="Arial" w:hAnsi="Arial" w:cs="Arial"/>
          <w:noProof/>
          <w:lang w:val="en-GB"/>
        </w:rPr>
      </w:pPr>
      <w:r>
        <w:rPr>
          <w:rFonts w:ascii="Arial" w:hAnsi="Arial" w:cs="Arial"/>
          <w:noProof/>
          <w:lang w:val="en-GB"/>
        </w:rPr>
        <w:t>Audit Directive</w:t>
      </w:r>
      <w:r>
        <w:rPr>
          <w:rStyle w:val="FootnoteReference"/>
          <w:rFonts w:ascii="Arial" w:hAnsi="Arial" w:cs="Arial"/>
          <w:noProof/>
          <w:lang w:val="en-GB"/>
        </w:rPr>
        <w:footnoteReference w:id="234"/>
      </w:r>
      <w:r>
        <w:rPr>
          <w:rFonts w:ascii="Arial" w:hAnsi="Arial" w:cs="Arial"/>
          <w:noProof/>
          <w:lang w:val="en-GB"/>
        </w:rPr>
        <w:t>;</w:t>
      </w:r>
    </w:p>
    <w:p w:rsidR="00E26342" w:rsidRDefault="00040788">
      <w:pPr>
        <w:pStyle w:val="Lijstje2"/>
        <w:numPr>
          <w:ilvl w:val="2"/>
          <w:numId w:val="2"/>
        </w:numPr>
        <w:spacing w:after="200"/>
        <w:ind w:left="2410" w:hanging="425"/>
        <w:rPr>
          <w:rFonts w:ascii="Arial" w:hAnsi="Arial" w:cs="Arial"/>
          <w:noProof/>
          <w:lang w:val="en-GB"/>
        </w:rPr>
      </w:pPr>
      <w:r>
        <w:rPr>
          <w:rFonts w:ascii="Arial" w:hAnsi="Arial" w:cs="Arial"/>
          <w:noProof/>
          <w:lang w:val="en-GB"/>
        </w:rPr>
        <w:t>Markets in Financial Instruments Directive (MiFID II)</w:t>
      </w:r>
      <w:r>
        <w:rPr>
          <w:rStyle w:val="FootnoteReference"/>
          <w:rFonts w:ascii="Arial" w:hAnsi="Arial" w:cs="Arial"/>
          <w:noProof/>
          <w:lang w:val="en-GB"/>
        </w:rPr>
        <w:footnoteReference w:id="235"/>
      </w:r>
      <w:r>
        <w:rPr>
          <w:rFonts w:ascii="Arial" w:hAnsi="Arial" w:cs="Arial"/>
          <w:noProof/>
          <w:lang w:val="en-GB"/>
        </w:rPr>
        <w:t>.</w:t>
      </w:r>
    </w:p>
    <w:p w:rsidR="00E26342" w:rsidRDefault="00040788">
      <w:pPr>
        <w:pStyle w:val="Lijstje"/>
        <w:numPr>
          <w:ilvl w:val="0"/>
          <w:numId w:val="4"/>
        </w:numPr>
        <w:ind w:left="1276" w:hanging="425"/>
        <w:rPr>
          <w:noProof/>
        </w:rPr>
      </w:pPr>
      <w:r>
        <w:rPr>
          <w:noProof/>
        </w:rPr>
        <w:t>The Commission referred one case to the Court under Article 258 TFEU. It concerns</w:t>
      </w:r>
    </w:p>
    <w:p w:rsidR="00E26342" w:rsidRDefault="00040788">
      <w:pPr>
        <w:pStyle w:val="Lijstje2"/>
        <w:spacing w:after="200"/>
        <w:ind w:left="1843" w:hanging="426"/>
        <w:rPr>
          <w:rFonts w:ascii="Arial" w:hAnsi="Arial" w:cs="Arial"/>
          <w:noProof/>
          <w:lang w:val="en-GB"/>
        </w:rPr>
      </w:pPr>
      <w:r>
        <w:rPr>
          <w:rFonts w:ascii="Arial" w:hAnsi="Arial" w:cs="Arial"/>
          <w:noProof/>
          <w:lang w:val="en-GB"/>
        </w:rPr>
        <w:t>failure to close and rehabilit</w:t>
      </w:r>
      <w:r>
        <w:rPr>
          <w:rFonts w:ascii="Arial" w:hAnsi="Arial" w:cs="Arial"/>
          <w:noProof/>
          <w:lang w:val="en-GB"/>
        </w:rPr>
        <w:t>ate illegal waste landfills posing a serious risk for human health and the environment</w:t>
      </w:r>
      <w:r>
        <w:rPr>
          <w:rStyle w:val="FootnoteReference"/>
          <w:rFonts w:ascii="Arial" w:hAnsi="Arial" w:cs="Arial"/>
          <w:noProof/>
          <w:lang w:val="en-GB"/>
        </w:rPr>
        <w:footnoteReference w:id="236"/>
      </w:r>
      <w:r>
        <w:rPr>
          <w:rFonts w:ascii="Arial" w:hAnsi="Arial" w:cs="Arial"/>
          <w:noProof/>
          <w:lang w:val="en-GB"/>
        </w:rPr>
        <w:t>.</w:t>
      </w:r>
    </w:p>
    <w:p w:rsidR="00E26342" w:rsidRDefault="00040788">
      <w:pPr>
        <w:pStyle w:val="Lijstje"/>
        <w:numPr>
          <w:ilvl w:val="0"/>
          <w:numId w:val="4"/>
        </w:numPr>
        <w:ind w:left="1276" w:hanging="425"/>
        <w:rPr>
          <w:noProof/>
        </w:rPr>
      </w:pPr>
      <w:r>
        <w:rPr>
          <w:noProof/>
        </w:rPr>
        <w:t>The Commission did not refer any cases to the Court under Article 260(2) TFEU.</w:t>
      </w:r>
    </w:p>
    <w:p w:rsidR="00E26342" w:rsidRDefault="00040788">
      <w:pPr>
        <w:pStyle w:val="AnnualReport1"/>
        <w:ind w:left="709" w:hanging="425"/>
        <w:rPr>
          <w:noProof/>
        </w:rPr>
      </w:pPr>
      <w:r>
        <w:rPr>
          <w:noProof/>
        </w:rPr>
        <w:t>TRANSPOSITION OF DIRECTIVES</w:t>
      </w:r>
    </w:p>
    <w:p w:rsidR="00E26342" w:rsidRDefault="00040788">
      <w:pPr>
        <w:pStyle w:val="AnnualReport2"/>
        <w:numPr>
          <w:ilvl w:val="0"/>
          <w:numId w:val="73"/>
        </w:numPr>
        <w:ind w:left="709" w:hanging="425"/>
        <w:rPr>
          <w:noProof/>
        </w:rPr>
      </w:pPr>
      <w:r>
        <w:rPr>
          <w:noProof/>
        </w:rPr>
        <w:t xml:space="preserve">Late transposition infringement cases against Slovenia open </w:t>
      </w:r>
      <w:r>
        <w:rPr>
          <w:noProof/>
        </w:rPr>
        <w:t>on 31 December (2013-2017)</w:t>
      </w:r>
    </w:p>
    <w:p w:rsidR="00E26342" w:rsidRDefault="00040788">
      <w:pPr>
        <w:ind w:left="426" w:firstLine="283"/>
        <w:rPr>
          <w:noProof/>
        </w:rPr>
      </w:pPr>
      <w:r>
        <w:rPr>
          <w:noProof/>
          <w:lang w:eastAsia="en-GB"/>
        </w:rPr>
        <w:drawing>
          <wp:inline distT="0" distB="0" distL="0" distR="0" wp14:anchorId="2553CA94" wp14:editId="1A8F4B69">
            <wp:extent cx="4556125" cy="2289810"/>
            <wp:effectExtent l="0" t="0" r="0" b="0"/>
            <wp:docPr id="263"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rsidR="00E26342" w:rsidRDefault="00040788">
      <w:pPr>
        <w:pStyle w:val="AnnualReport2"/>
        <w:numPr>
          <w:ilvl w:val="0"/>
          <w:numId w:val="63"/>
        </w:numPr>
        <w:ind w:left="709" w:hanging="425"/>
        <w:rPr>
          <w:noProof/>
        </w:rPr>
      </w:pPr>
      <w:r>
        <w:rPr>
          <w:noProof/>
        </w:rPr>
        <w:t>New late transposition infringement cases against Slovenia (2013-2017)</w:t>
      </w:r>
    </w:p>
    <w:p w:rsidR="00E26342" w:rsidRDefault="00040788">
      <w:pPr>
        <w:spacing w:before="360"/>
        <w:ind w:firstLine="709"/>
        <w:rPr>
          <w:rFonts w:ascii="Arial" w:hAnsi="Arial" w:cs="Arial"/>
          <w:noProof/>
          <w:sz w:val="20"/>
        </w:rPr>
      </w:pPr>
      <w:r>
        <w:rPr>
          <w:rFonts w:ascii="Arial" w:hAnsi="Arial" w:cs="Arial"/>
          <w:noProof/>
          <w:sz w:val="20"/>
          <w:lang w:eastAsia="en-GB"/>
        </w:rPr>
        <w:drawing>
          <wp:inline distT="0" distB="0" distL="0" distR="0" wp14:anchorId="064CC51A" wp14:editId="4A3234A3">
            <wp:extent cx="4556760" cy="2110740"/>
            <wp:effectExtent l="0" t="0" r="15240" b="22860"/>
            <wp:docPr id="264"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rsidR="00E26342" w:rsidRDefault="00040788">
      <w:pPr>
        <w:pStyle w:val="AnnualReport2"/>
        <w:numPr>
          <w:ilvl w:val="0"/>
          <w:numId w:val="63"/>
        </w:numPr>
        <w:ind w:left="709" w:hanging="425"/>
        <w:rPr>
          <w:noProof/>
        </w:rPr>
      </w:pPr>
      <w:r>
        <w:rPr>
          <w:noProof/>
        </w:rPr>
        <w:t>New late transposition infringement cases opened in 2017: main policy areas</w:t>
      </w:r>
    </w:p>
    <w:p w:rsidR="00E26342" w:rsidRDefault="00040788">
      <w:pPr>
        <w:spacing w:before="360"/>
        <w:ind w:firstLine="709"/>
        <w:rPr>
          <w:rFonts w:ascii="Arial" w:hAnsi="Arial" w:cs="Arial"/>
          <w:noProof/>
          <w:sz w:val="20"/>
        </w:rPr>
      </w:pPr>
      <w:r>
        <w:rPr>
          <w:rFonts w:ascii="Arial" w:hAnsi="Arial" w:cs="Arial"/>
          <w:noProof/>
          <w:sz w:val="20"/>
          <w:lang w:eastAsia="en-GB"/>
        </w:rPr>
        <w:drawing>
          <wp:inline distT="0" distB="0" distL="0" distR="0" wp14:anchorId="031A21EB" wp14:editId="1C93D98A">
            <wp:extent cx="4580255" cy="2504440"/>
            <wp:effectExtent l="0" t="0" r="10795" b="10160"/>
            <wp:docPr id="265" name="Object 2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rsidR="00E26342" w:rsidRDefault="00040788">
      <w:pPr>
        <w:pStyle w:val="AnnualReport2"/>
        <w:numPr>
          <w:ilvl w:val="0"/>
          <w:numId w:val="63"/>
        </w:numPr>
        <w:ind w:left="709" w:hanging="425"/>
        <w:rPr>
          <w:noProof/>
        </w:rPr>
      </w:pPr>
      <w:r>
        <w:rPr>
          <w:noProof/>
        </w:rPr>
        <w:t>Referral to the Court</w:t>
      </w:r>
    </w:p>
    <w:p w:rsidR="00E26342" w:rsidRDefault="00040788">
      <w:pPr>
        <w:spacing w:after="120"/>
        <w:ind w:left="709"/>
        <w:rPr>
          <w:rFonts w:ascii="Arial" w:eastAsia="Calibri" w:hAnsi="Arial" w:cs="Arial"/>
          <w:noProof/>
          <w:kern w:val="20"/>
          <w:sz w:val="20"/>
        </w:rPr>
      </w:pPr>
      <w:r>
        <w:rPr>
          <w:rFonts w:ascii="Arial" w:eastAsia="Calibri" w:hAnsi="Arial" w:cs="Arial"/>
          <w:noProof/>
          <w:kern w:val="20"/>
          <w:sz w:val="20"/>
        </w:rPr>
        <w:t xml:space="preserve">The Commission referred one case to the Court under </w:t>
      </w:r>
      <w:r>
        <w:rPr>
          <w:rFonts w:ascii="Arial" w:eastAsia="Calibri" w:hAnsi="Arial" w:cs="Arial"/>
          <w:noProof/>
          <w:kern w:val="20"/>
          <w:sz w:val="20"/>
        </w:rPr>
        <w:t>Articles 258 and 260(3) TFEU. It concerned:</w:t>
      </w:r>
    </w:p>
    <w:p w:rsidR="00E26342" w:rsidRDefault="00040788">
      <w:pPr>
        <w:pStyle w:val="Lijstje2"/>
        <w:spacing w:after="200"/>
        <w:ind w:left="1276" w:hanging="425"/>
        <w:rPr>
          <w:rFonts w:ascii="Arial" w:hAnsi="Arial" w:cs="Arial"/>
          <w:noProof/>
          <w:lang w:val="en-GB"/>
        </w:rPr>
      </w:pPr>
      <w:r>
        <w:rPr>
          <w:rFonts w:ascii="Arial" w:hAnsi="Arial" w:cs="Arial"/>
          <w:noProof/>
          <w:lang w:val="en-GB"/>
        </w:rPr>
        <w:t>The incomplete transposition of the Directive on requirements for budgetary frameworks of the Member States</w:t>
      </w:r>
      <w:r>
        <w:rPr>
          <w:rStyle w:val="FootnoteReference"/>
          <w:rFonts w:ascii="Arial" w:hAnsi="Arial" w:cs="Arial"/>
          <w:noProof/>
          <w:lang w:val="en-GB"/>
        </w:rPr>
        <w:footnoteReference w:id="237"/>
      </w:r>
      <w:r>
        <w:rPr>
          <w:rFonts w:ascii="Arial" w:hAnsi="Arial" w:cs="Arial"/>
          <w:noProof/>
          <w:lang w:val="en-GB"/>
        </w:rPr>
        <w:t>.</w:t>
      </w:r>
    </w:p>
    <w:p w:rsidR="00E26342" w:rsidRDefault="00040788">
      <w:pPr>
        <w:pStyle w:val="AnnualReport1"/>
        <w:spacing w:after="240"/>
        <w:ind w:left="709" w:hanging="425"/>
        <w:rPr>
          <w:noProof/>
        </w:rPr>
      </w:pPr>
      <w:r>
        <w:rPr>
          <w:noProof/>
        </w:rPr>
        <w:t>EARLY RESOLUTION OF INFRINGEMENT CASES</w:t>
      </w:r>
    </w:p>
    <w:p w:rsidR="00E26342" w:rsidRDefault="00040788">
      <w:pPr>
        <w:spacing w:after="60"/>
        <w:ind w:left="709"/>
        <w:jc w:val="left"/>
        <w:outlineLvl w:val="1"/>
        <w:rPr>
          <w:rFonts w:ascii="Arial" w:hAnsi="Arial"/>
          <w:noProof/>
          <w:color w:val="002060"/>
          <w:sz w:val="22"/>
          <w:szCs w:val="22"/>
        </w:rPr>
      </w:pPr>
      <w:r>
        <w:rPr>
          <w:rFonts w:ascii="Arial" w:hAnsi="Arial"/>
          <w:noProof/>
          <w:color w:val="002060"/>
          <w:sz w:val="22"/>
          <w:szCs w:val="22"/>
        </w:rPr>
        <w:t>Major cases closed without a Court judgment in 2017</w:t>
      </w:r>
    </w:p>
    <w:p w:rsidR="00E26342" w:rsidRDefault="00040788">
      <w:pPr>
        <w:spacing w:before="120" w:after="120"/>
        <w:ind w:left="709"/>
        <w:rPr>
          <w:rFonts w:ascii="Arial" w:hAnsi="Arial" w:cs="Arial"/>
          <w:noProof/>
          <w:sz w:val="20"/>
        </w:rPr>
      </w:pPr>
      <w:r>
        <w:rPr>
          <w:rFonts w:ascii="Arial" w:hAnsi="Arial" w:cs="Arial"/>
          <w:noProof/>
          <w:sz w:val="20"/>
        </w:rPr>
        <w:t>These conce</w:t>
      </w:r>
      <w:r>
        <w:rPr>
          <w:rFonts w:ascii="Arial" w:hAnsi="Arial" w:cs="Arial"/>
          <w:noProof/>
          <w:sz w:val="20"/>
        </w:rPr>
        <w:t>rned:</w:t>
      </w:r>
    </w:p>
    <w:p w:rsidR="00E26342" w:rsidRDefault="00040788">
      <w:pPr>
        <w:numPr>
          <w:ilvl w:val="0"/>
          <w:numId w:val="2"/>
        </w:numPr>
        <w:spacing w:after="200"/>
        <w:ind w:left="1276" w:hanging="425"/>
        <w:contextualSpacing/>
        <w:rPr>
          <w:rFonts w:ascii="Arial" w:eastAsia="Calibri" w:hAnsi="Arial" w:cs="Arial"/>
          <w:noProof/>
          <w:sz w:val="20"/>
        </w:rPr>
      </w:pPr>
      <w:r>
        <w:rPr>
          <w:rFonts w:ascii="Arial" w:eastAsia="Calibri" w:hAnsi="Arial" w:cs="Arial"/>
          <w:noProof/>
          <w:kern w:val="20"/>
          <w:sz w:val="20"/>
        </w:rPr>
        <w:t xml:space="preserve">non-implementation of </w:t>
      </w:r>
      <w:r>
        <w:rPr>
          <w:rFonts w:ascii="Arial" w:eastAsia="Calibri" w:hAnsi="Arial" w:cs="Arial"/>
          <w:noProof/>
          <w:sz w:val="20"/>
        </w:rPr>
        <w:t>Regulations in the area of aviation safety (lack of appropriate recourses)</w:t>
      </w:r>
      <w:r>
        <w:rPr>
          <w:rStyle w:val="FootnoteReference"/>
          <w:rFonts w:ascii="Arial" w:eastAsia="Calibri" w:hAnsi="Arial" w:cs="Arial"/>
          <w:noProof/>
          <w:sz w:val="20"/>
        </w:rPr>
        <w:footnoteReference w:id="238"/>
      </w:r>
      <w:r>
        <w:rPr>
          <w:rFonts w:ascii="Arial" w:eastAsia="Calibri" w:hAnsi="Arial" w:cs="Arial"/>
          <w:noProof/>
          <w:sz w:val="20"/>
        </w:rPr>
        <w:t>;</w:t>
      </w:r>
    </w:p>
    <w:p w:rsidR="00E26342" w:rsidRDefault="00040788">
      <w:pPr>
        <w:numPr>
          <w:ilvl w:val="0"/>
          <w:numId w:val="2"/>
        </w:numPr>
        <w:spacing w:after="200"/>
        <w:ind w:left="1276" w:hanging="425"/>
        <w:contextualSpacing/>
        <w:rPr>
          <w:rFonts w:ascii="Arial" w:eastAsia="Calibri" w:hAnsi="Arial" w:cs="Arial"/>
          <w:noProof/>
          <w:color w:val="3D3D3D"/>
          <w:sz w:val="20"/>
        </w:rPr>
      </w:pPr>
      <w:r>
        <w:rPr>
          <w:rFonts w:ascii="Arial" w:eastAsia="Calibri" w:hAnsi="Arial" w:cs="Arial"/>
          <w:noProof/>
          <w:kern w:val="20"/>
          <w:sz w:val="20"/>
        </w:rPr>
        <w:t xml:space="preserve">lack of flood risk </w:t>
      </w:r>
      <w:r>
        <w:rPr>
          <w:rFonts w:ascii="Arial" w:eastAsia="Calibri" w:hAnsi="Arial" w:cs="Arial"/>
          <w:noProof/>
          <w:sz w:val="20"/>
        </w:rPr>
        <w:t>management plans required by the Floods Directive</w:t>
      </w:r>
      <w:r>
        <w:rPr>
          <w:rStyle w:val="FootnoteReference"/>
          <w:rFonts w:ascii="Arial" w:eastAsia="Calibri" w:hAnsi="Arial" w:cs="Arial"/>
          <w:noProof/>
          <w:sz w:val="20"/>
        </w:rPr>
        <w:footnoteReference w:id="239"/>
      </w:r>
      <w:r>
        <w:rPr>
          <w:rFonts w:ascii="Arial" w:eastAsia="Calibri" w:hAnsi="Arial" w:cs="Arial"/>
          <w:noProof/>
          <w:color w:val="3D3D3D"/>
          <w:sz w:val="20"/>
        </w:rPr>
        <w:t>;</w:t>
      </w:r>
    </w:p>
    <w:p w:rsidR="00E26342" w:rsidRDefault="00040788">
      <w:pPr>
        <w:numPr>
          <w:ilvl w:val="0"/>
          <w:numId w:val="2"/>
        </w:numPr>
        <w:spacing w:after="200"/>
        <w:ind w:left="1276" w:hanging="425"/>
        <w:contextualSpacing/>
        <w:rPr>
          <w:rFonts w:ascii="Arial" w:eastAsia="Calibri" w:hAnsi="Arial" w:cs="Arial"/>
          <w:noProof/>
          <w:sz w:val="20"/>
        </w:rPr>
      </w:pPr>
      <w:r>
        <w:rPr>
          <w:rFonts w:ascii="Arial" w:eastAsia="Calibri" w:hAnsi="Arial" w:cs="Arial"/>
          <w:noProof/>
          <w:kern w:val="20"/>
          <w:sz w:val="20"/>
        </w:rPr>
        <w:t xml:space="preserve">failure to develop and report on the programmes of measures required by the Marine Strategy Framework </w:t>
      </w:r>
      <w:r>
        <w:rPr>
          <w:rFonts w:ascii="Arial" w:eastAsia="Calibri" w:hAnsi="Arial" w:cs="Arial"/>
          <w:noProof/>
          <w:sz w:val="20"/>
        </w:rPr>
        <w:t>Directive</w:t>
      </w:r>
      <w:r>
        <w:rPr>
          <w:rStyle w:val="FootnoteReference"/>
          <w:rFonts w:ascii="Arial" w:eastAsia="Calibri" w:hAnsi="Arial" w:cs="Arial"/>
          <w:noProof/>
          <w:sz w:val="20"/>
        </w:rPr>
        <w:footnoteReference w:id="240"/>
      </w:r>
      <w:r>
        <w:rPr>
          <w:rFonts w:ascii="Arial" w:eastAsia="Calibri" w:hAnsi="Arial" w:cs="Arial"/>
          <w:noProof/>
          <w:sz w:val="20"/>
        </w:rPr>
        <w:t>;</w:t>
      </w:r>
    </w:p>
    <w:p w:rsidR="00E26342" w:rsidRDefault="00040788">
      <w:pPr>
        <w:numPr>
          <w:ilvl w:val="0"/>
          <w:numId w:val="2"/>
        </w:numPr>
        <w:spacing w:after="200"/>
        <w:ind w:left="1276" w:hanging="425"/>
        <w:contextualSpacing/>
        <w:rPr>
          <w:rFonts w:ascii="Arial" w:eastAsia="Calibri" w:hAnsi="Arial" w:cs="Arial"/>
          <w:noProof/>
          <w:kern w:val="20"/>
          <w:sz w:val="20"/>
        </w:rPr>
      </w:pPr>
      <w:r>
        <w:rPr>
          <w:rFonts w:ascii="Arial" w:eastAsia="Calibri" w:hAnsi="Arial" w:cs="Arial"/>
          <w:noProof/>
          <w:kern w:val="20"/>
          <w:sz w:val="20"/>
        </w:rPr>
        <w:t>lack of resources to conduct duties attributed to the Civil Aviation Competent Authority</w:t>
      </w:r>
      <w:r>
        <w:rPr>
          <w:rStyle w:val="FootnoteReference"/>
          <w:rFonts w:ascii="Arial" w:eastAsia="Calibri" w:hAnsi="Arial" w:cs="Arial"/>
          <w:noProof/>
          <w:sz w:val="20"/>
        </w:rPr>
        <w:footnoteReference w:id="241"/>
      </w:r>
      <w:r>
        <w:rPr>
          <w:rFonts w:ascii="Arial" w:eastAsia="Calibri" w:hAnsi="Arial" w:cs="Arial"/>
          <w:noProof/>
          <w:kern w:val="20"/>
          <w:sz w:val="20"/>
        </w:rPr>
        <w:t>;</w:t>
      </w:r>
    </w:p>
    <w:p w:rsidR="00E26342" w:rsidRDefault="00040788">
      <w:pPr>
        <w:numPr>
          <w:ilvl w:val="0"/>
          <w:numId w:val="2"/>
        </w:numPr>
        <w:spacing w:after="200"/>
        <w:ind w:left="1276" w:hanging="425"/>
        <w:contextualSpacing/>
        <w:rPr>
          <w:rFonts w:ascii="Arial" w:eastAsia="Calibri" w:hAnsi="Arial" w:cs="Arial"/>
          <w:noProof/>
          <w:kern w:val="20"/>
          <w:sz w:val="20"/>
        </w:rPr>
      </w:pPr>
      <w:r>
        <w:rPr>
          <w:rFonts w:ascii="Arial" w:eastAsia="Calibri" w:hAnsi="Arial" w:cs="Arial"/>
          <w:noProof/>
          <w:kern w:val="20"/>
          <w:sz w:val="20"/>
        </w:rPr>
        <w:t xml:space="preserve">non-communication of national measures transposing </w:t>
      </w:r>
      <w:r>
        <w:rPr>
          <w:rFonts w:ascii="Arial" w:eastAsia="Calibri" w:hAnsi="Arial" w:cs="Arial"/>
          <w:noProof/>
          <w:kern w:val="20"/>
          <w:sz w:val="20"/>
        </w:rPr>
        <w:t>the:</w:t>
      </w:r>
    </w:p>
    <w:p w:rsidR="00E26342" w:rsidRDefault="00040788">
      <w:pPr>
        <w:numPr>
          <w:ilvl w:val="1"/>
          <w:numId w:val="2"/>
        </w:numPr>
        <w:spacing w:after="200"/>
        <w:ind w:left="1843" w:hanging="425"/>
        <w:contextualSpacing/>
        <w:rPr>
          <w:rFonts w:ascii="Arial" w:eastAsia="Calibri" w:hAnsi="Arial" w:cs="Arial"/>
          <w:noProof/>
          <w:kern w:val="20"/>
          <w:sz w:val="20"/>
        </w:rPr>
      </w:pPr>
      <w:r>
        <w:rPr>
          <w:rFonts w:ascii="Arial" w:eastAsia="Calibri" w:hAnsi="Arial" w:cs="Arial"/>
          <w:noProof/>
          <w:kern w:val="20"/>
          <w:sz w:val="20"/>
        </w:rPr>
        <w:t>Driving Licences Directive</w:t>
      </w:r>
      <w:r>
        <w:rPr>
          <w:rStyle w:val="FootnoteReference"/>
          <w:rFonts w:ascii="Arial" w:eastAsia="Calibri" w:hAnsi="Arial" w:cs="Arial"/>
          <w:noProof/>
          <w:sz w:val="20"/>
        </w:rPr>
        <w:footnoteReference w:id="242"/>
      </w:r>
      <w:r>
        <w:rPr>
          <w:rFonts w:ascii="Arial" w:eastAsia="Calibri" w:hAnsi="Arial" w:cs="Arial"/>
          <w:noProof/>
          <w:kern w:val="20"/>
          <w:sz w:val="20"/>
        </w:rPr>
        <w:t>;</w:t>
      </w:r>
    </w:p>
    <w:p w:rsidR="00E26342" w:rsidRDefault="00040788">
      <w:pPr>
        <w:numPr>
          <w:ilvl w:val="1"/>
          <w:numId w:val="2"/>
        </w:numPr>
        <w:spacing w:after="200"/>
        <w:ind w:left="1843" w:hanging="425"/>
        <w:contextualSpacing/>
        <w:rPr>
          <w:rFonts w:ascii="Arial" w:eastAsia="Calibri" w:hAnsi="Arial" w:cs="Arial"/>
          <w:noProof/>
          <w:kern w:val="20"/>
          <w:sz w:val="20"/>
        </w:rPr>
      </w:pPr>
      <w:r>
        <w:rPr>
          <w:rFonts w:ascii="Arial" w:eastAsia="Calibri" w:hAnsi="Arial" w:cs="Arial"/>
          <w:noProof/>
          <w:kern w:val="20"/>
          <w:sz w:val="20"/>
        </w:rPr>
        <w:t>Directive establishing a single European railway area (recast)</w:t>
      </w:r>
      <w:r>
        <w:rPr>
          <w:rStyle w:val="FootnoteReference"/>
          <w:rFonts w:ascii="Arial" w:eastAsia="Calibri" w:hAnsi="Arial" w:cs="Arial"/>
          <w:noProof/>
          <w:sz w:val="20"/>
        </w:rPr>
        <w:footnoteReference w:id="243"/>
      </w:r>
      <w:r>
        <w:rPr>
          <w:rFonts w:ascii="Arial" w:eastAsia="Calibri" w:hAnsi="Arial" w:cs="Arial"/>
          <w:noProof/>
          <w:kern w:val="20"/>
          <w:sz w:val="20"/>
        </w:rPr>
        <w:t>;</w:t>
      </w:r>
    </w:p>
    <w:p w:rsidR="00E26342" w:rsidRDefault="00040788">
      <w:pPr>
        <w:numPr>
          <w:ilvl w:val="1"/>
          <w:numId w:val="2"/>
        </w:numPr>
        <w:spacing w:after="200"/>
        <w:ind w:left="1843" w:hanging="425"/>
        <w:contextualSpacing/>
        <w:rPr>
          <w:rFonts w:ascii="Arial" w:eastAsia="Calibri" w:hAnsi="Arial" w:cs="Arial"/>
          <w:noProof/>
          <w:kern w:val="20"/>
          <w:sz w:val="20"/>
        </w:rPr>
      </w:pPr>
      <w:r>
        <w:rPr>
          <w:rFonts w:ascii="Arial" w:eastAsia="Calibri" w:hAnsi="Arial" w:cs="Arial"/>
          <w:noProof/>
          <w:kern w:val="20"/>
          <w:sz w:val="20"/>
        </w:rPr>
        <w:t>Directive as regards disclosure of non-financial and diversity information by certain large undertakings</w:t>
      </w:r>
      <w:r>
        <w:rPr>
          <w:rStyle w:val="FootnoteReference"/>
          <w:rFonts w:ascii="Arial" w:eastAsia="Calibri" w:hAnsi="Arial" w:cs="Arial"/>
          <w:noProof/>
          <w:sz w:val="20"/>
        </w:rPr>
        <w:footnoteReference w:id="244"/>
      </w:r>
      <w:r>
        <w:rPr>
          <w:rFonts w:ascii="Arial" w:eastAsia="Calibri" w:hAnsi="Arial" w:cs="Arial"/>
          <w:noProof/>
          <w:kern w:val="20"/>
          <w:sz w:val="20"/>
        </w:rPr>
        <w:t>;</w:t>
      </w:r>
    </w:p>
    <w:p w:rsidR="00E26342" w:rsidRDefault="00040788">
      <w:pPr>
        <w:numPr>
          <w:ilvl w:val="1"/>
          <w:numId w:val="2"/>
        </w:numPr>
        <w:spacing w:after="200"/>
        <w:ind w:left="1843" w:hanging="425"/>
        <w:contextualSpacing/>
        <w:rPr>
          <w:rFonts w:ascii="Arial" w:eastAsia="Calibri" w:hAnsi="Arial" w:cs="Arial"/>
          <w:noProof/>
          <w:kern w:val="20"/>
          <w:sz w:val="20"/>
        </w:rPr>
      </w:pPr>
      <w:r>
        <w:rPr>
          <w:rFonts w:ascii="Arial" w:eastAsia="Calibri" w:hAnsi="Arial" w:cs="Arial"/>
          <w:noProof/>
          <w:kern w:val="20"/>
          <w:sz w:val="20"/>
        </w:rPr>
        <w:t>Accounting Directive</w:t>
      </w:r>
      <w:r>
        <w:rPr>
          <w:rStyle w:val="FootnoteReference"/>
          <w:rFonts w:ascii="Arial" w:eastAsia="Calibri" w:hAnsi="Arial" w:cs="Arial"/>
          <w:noProof/>
          <w:sz w:val="20"/>
        </w:rPr>
        <w:footnoteReference w:id="245"/>
      </w:r>
      <w:r>
        <w:rPr>
          <w:rFonts w:ascii="Arial" w:eastAsia="Calibri" w:hAnsi="Arial" w:cs="Arial"/>
          <w:noProof/>
          <w:kern w:val="20"/>
          <w:sz w:val="20"/>
        </w:rPr>
        <w:t>;</w:t>
      </w:r>
    </w:p>
    <w:p w:rsidR="00E26342" w:rsidRDefault="00040788">
      <w:pPr>
        <w:numPr>
          <w:ilvl w:val="1"/>
          <w:numId w:val="2"/>
        </w:numPr>
        <w:spacing w:after="200"/>
        <w:ind w:left="1843" w:hanging="425"/>
        <w:contextualSpacing/>
        <w:rPr>
          <w:rFonts w:ascii="Arial" w:eastAsia="Calibri" w:hAnsi="Arial" w:cs="Arial"/>
          <w:noProof/>
          <w:kern w:val="20"/>
          <w:sz w:val="20"/>
        </w:rPr>
      </w:pPr>
      <w:r>
        <w:rPr>
          <w:rFonts w:ascii="Arial" w:eastAsia="Calibri" w:hAnsi="Arial" w:cs="Arial"/>
          <w:noProof/>
          <w:kern w:val="20"/>
          <w:sz w:val="20"/>
        </w:rPr>
        <w:t>Directive on port reception</w:t>
      </w:r>
      <w:r>
        <w:rPr>
          <w:rFonts w:ascii="Arial" w:eastAsia="Calibri" w:hAnsi="Arial" w:cs="Arial"/>
          <w:noProof/>
          <w:kern w:val="20"/>
          <w:sz w:val="20"/>
        </w:rPr>
        <w:t xml:space="preserve"> facilities for ship-generated waste and cargo residues</w:t>
      </w:r>
      <w:r>
        <w:rPr>
          <w:rStyle w:val="FootnoteReference"/>
          <w:rFonts w:ascii="Arial" w:eastAsia="Calibri" w:hAnsi="Arial" w:cs="Arial"/>
          <w:noProof/>
          <w:sz w:val="20"/>
        </w:rPr>
        <w:footnoteReference w:id="246"/>
      </w:r>
      <w:r>
        <w:rPr>
          <w:rFonts w:ascii="Arial" w:eastAsia="Calibri" w:hAnsi="Arial" w:cs="Arial"/>
          <w:noProof/>
          <w:kern w:val="20"/>
          <w:sz w:val="20"/>
        </w:rPr>
        <w:t>;</w:t>
      </w:r>
    </w:p>
    <w:p w:rsidR="00E26342" w:rsidRDefault="00040788">
      <w:pPr>
        <w:numPr>
          <w:ilvl w:val="1"/>
          <w:numId w:val="2"/>
        </w:numPr>
        <w:spacing w:after="200"/>
        <w:ind w:left="1843" w:hanging="425"/>
        <w:contextualSpacing/>
        <w:rPr>
          <w:rFonts w:ascii="Arial" w:eastAsia="Calibri" w:hAnsi="Arial" w:cs="Arial"/>
          <w:noProof/>
          <w:kern w:val="20"/>
          <w:sz w:val="20"/>
        </w:rPr>
      </w:pPr>
      <w:r>
        <w:rPr>
          <w:rFonts w:ascii="Arial" w:eastAsia="Calibri" w:hAnsi="Arial" w:cs="Arial"/>
          <w:noProof/>
          <w:kern w:val="20"/>
          <w:sz w:val="20"/>
        </w:rPr>
        <w:t>Directive on undertakings for collective investment in transferable securities</w:t>
      </w:r>
      <w:r>
        <w:rPr>
          <w:rStyle w:val="FootnoteReference"/>
          <w:rFonts w:ascii="Arial" w:eastAsia="Calibri" w:hAnsi="Arial" w:cs="Arial"/>
          <w:noProof/>
          <w:sz w:val="20"/>
        </w:rPr>
        <w:footnoteReference w:id="247"/>
      </w:r>
      <w:r>
        <w:rPr>
          <w:rFonts w:ascii="Arial" w:eastAsia="Calibri" w:hAnsi="Arial" w:cs="Arial"/>
          <w:noProof/>
          <w:kern w:val="20"/>
          <w:sz w:val="20"/>
        </w:rPr>
        <w:t>;</w:t>
      </w:r>
    </w:p>
    <w:p w:rsidR="00E26342" w:rsidRDefault="00040788">
      <w:pPr>
        <w:numPr>
          <w:ilvl w:val="1"/>
          <w:numId w:val="2"/>
        </w:numPr>
        <w:spacing w:after="200"/>
        <w:ind w:left="1843" w:hanging="425"/>
        <w:contextualSpacing/>
        <w:rPr>
          <w:rFonts w:ascii="Arial" w:eastAsia="Calibri" w:hAnsi="Arial" w:cs="Arial"/>
          <w:noProof/>
          <w:kern w:val="20"/>
          <w:sz w:val="20"/>
        </w:rPr>
      </w:pPr>
      <w:r>
        <w:rPr>
          <w:rFonts w:ascii="Arial" w:eastAsia="Calibri" w:hAnsi="Arial" w:cs="Arial"/>
          <w:noProof/>
          <w:kern w:val="20"/>
          <w:sz w:val="20"/>
        </w:rPr>
        <w:t>Transparency Directive</w:t>
      </w:r>
      <w:r>
        <w:rPr>
          <w:rStyle w:val="FootnoteReference"/>
          <w:rFonts w:ascii="Arial" w:eastAsia="Calibri" w:hAnsi="Arial" w:cs="Arial"/>
          <w:noProof/>
          <w:sz w:val="20"/>
        </w:rPr>
        <w:footnoteReference w:id="248"/>
      </w:r>
      <w:r>
        <w:rPr>
          <w:rFonts w:ascii="Arial" w:eastAsia="Calibri" w:hAnsi="Arial" w:cs="Arial"/>
          <w:noProof/>
          <w:kern w:val="20"/>
          <w:sz w:val="20"/>
        </w:rPr>
        <w:t>;</w:t>
      </w:r>
    </w:p>
    <w:p w:rsidR="00E26342" w:rsidRDefault="00040788">
      <w:pPr>
        <w:numPr>
          <w:ilvl w:val="1"/>
          <w:numId w:val="2"/>
        </w:numPr>
        <w:spacing w:after="200"/>
        <w:ind w:left="1843" w:hanging="425"/>
        <w:contextualSpacing/>
        <w:rPr>
          <w:rFonts w:ascii="Arial" w:eastAsia="Calibri" w:hAnsi="Arial" w:cs="Arial"/>
          <w:noProof/>
          <w:kern w:val="20"/>
          <w:sz w:val="20"/>
        </w:rPr>
      </w:pPr>
      <w:r>
        <w:rPr>
          <w:rFonts w:ascii="Arial" w:eastAsia="Calibri" w:hAnsi="Arial" w:cs="Arial"/>
          <w:bCs/>
          <w:noProof/>
          <w:kern w:val="20"/>
          <w:sz w:val="20"/>
        </w:rPr>
        <w:t>Directive on recognition of professional qualifications</w:t>
      </w:r>
      <w:r>
        <w:rPr>
          <w:rStyle w:val="FootnoteReference"/>
          <w:rFonts w:ascii="Arial" w:eastAsia="Calibri" w:hAnsi="Arial" w:cs="Arial"/>
          <w:noProof/>
          <w:sz w:val="20"/>
        </w:rPr>
        <w:footnoteReference w:id="249"/>
      </w:r>
      <w:r>
        <w:rPr>
          <w:rFonts w:ascii="Arial" w:eastAsia="Calibri" w:hAnsi="Arial" w:cs="Arial"/>
          <w:bCs/>
          <w:noProof/>
          <w:kern w:val="20"/>
          <w:sz w:val="20"/>
        </w:rPr>
        <w:t>;</w:t>
      </w:r>
    </w:p>
    <w:p w:rsidR="00E26342" w:rsidRDefault="00040788">
      <w:pPr>
        <w:numPr>
          <w:ilvl w:val="1"/>
          <w:numId w:val="2"/>
        </w:numPr>
        <w:spacing w:after="200"/>
        <w:ind w:left="1843" w:hanging="425"/>
        <w:contextualSpacing/>
        <w:rPr>
          <w:rFonts w:ascii="Arial" w:eastAsia="Calibri" w:hAnsi="Arial" w:cs="Arial"/>
          <w:noProof/>
          <w:kern w:val="20"/>
          <w:sz w:val="20"/>
        </w:rPr>
      </w:pPr>
      <w:r>
        <w:rPr>
          <w:rFonts w:ascii="Arial" w:eastAsia="Calibri" w:hAnsi="Arial" w:cs="Arial"/>
          <w:noProof/>
          <w:kern w:val="20"/>
          <w:sz w:val="20"/>
        </w:rPr>
        <w:t>Commission Directive</w:t>
      </w:r>
      <w:r>
        <w:rPr>
          <w:rStyle w:val="FootnoteReference"/>
          <w:rFonts w:ascii="Arial" w:eastAsia="Calibri" w:hAnsi="Arial" w:cs="Arial"/>
          <w:noProof/>
          <w:sz w:val="20"/>
        </w:rPr>
        <w:footnoteReference w:id="250"/>
      </w:r>
      <w:r>
        <w:rPr>
          <w:rFonts w:ascii="Arial" w:eastAsia="Calibri" w:hAnsi="Arial" w:cs="Arial"/>
          <w:noProof/>
          <w:kern w:val="20"/>
          <w:sz w:val="20"/>
        </w:rPr>
        <w:t xml:space="preserve"> amending the Groundwater Directive</w:t>
      </w:r>
      <w:r>
        <w:rPr>
          <w:rStyle w:val="FootnoteReference"/>
          <w:rFonts w:ascii="Arial" w:eastAsia="Calibri" w:hAnsi="Arial" w:cs="Arial"/>
          <w:noProof/>
          <w:sz w:val="20"/>
        </w:rPr>
        <w:footnoteReference w:id="251"/>
      </w:r>
      <w:r>
        <w:rPr>
          <w:rFonts w:ascii="Arial" w:eastAsia="Calibri" w:hAnsi="Arial" w:cs="Arial"/>
          <w:noProof/>
          <w:kern w:val="20"/>
          <w:sz w:val="20"/>
        </w:rPr>
        <w:t>;</w:t>
      </w:r>
    </w:p>
    <w:p w:rsidR="00E26342" w:rsidRDefault="00040788">
      <w:pPr>
        <w:numPr>
          <w:ilvl w:val="1"/>
          <w:numId w:val="2"/>
        </w:numPr>
        <w:spacing w:after="200"/>
        <w:ind w:left="1843" w:hanging="425"/>
        <w:contextualSpacing/>
        <w:rPr>
          <w:rFonts w:ascii="Arial" w:eastAsia="Calibri" w:hAnsi="Arial" w:cs="Arial"/>
          <w:noProof/>
          <w:kern w:val="20"/>
          <w:sz w:val="20"/>
        </w:rPr>
      </w:pPr>
      <w:r>
        <w:rPr>
          <w:rFonts w:ascii="Arial" w:eastAsia="Calibri" w:hAnsi="Arial" w:cs="Arial"/>
          <w:noProof/>
          <w:kern w:val="20"/>
          <w:sz w:val="20"/>
        </w:rPr>
        <w:t>Deposit Guarantee Schemes Directive</w:t>
      </w:r>
      <w:r>
        <w:rPr>
          <w:rStyle w:val="FootnoteReference"/>
          <w:rFonts w:ascii="Arial" w:eastAsia="Calibri" w:hAnsi="Arial" w:cs="Arial"/>
          <w:noProof/>
          <w:sz w:val="20"/>
        </w:rPr>
        <w:footnoteReference w:id="252"/>
      </w:r>
      <w:r>
        <w:rPr>
          <w:rFonts w:ascii="Arial" w:eastAsia="Calibri" w:hAnsi="Arial" w:cs="Arial"/>
          <w:noProof/>
          <w:kern w:val="20"/>
          <w:sz w:val="20"/>
        </w:rPr>
        <w:t>;</w:t>
      </w:r>
    </w:p>
    <w:p w:rsidR="00E26342" w:rsidRDefault="00040788">
      <w:pPr>
        <w:numPr>
          <w:ilvl w:val="1"/>
          <w:numId w:val="2"/>
        </w:numPr>
        <w:spacing w:after="200"/>
        <w:ind w:left="1843" w:hanging="425"/>
        <w:contextualSpacing/>
        <w:rPr>
          <w:rFonts w:ascii="Arial" w:eastAsia="Calibri" w:hAnsi="Arial" w:cs="Arial"/>
          <w:noProof/>
          <w:kern w:val="20"/>
          <w:sz w:val="20"/>
        </w:rPr>
      </w:pPr>
      <w:r>
        <w:rPr>
          <w:rFonts w:ascii="Arial" w:eastAsia="Calibri" w:hAnsi="Arial" w:cs="Arial"/>
          <w:noProof/>
          <w:kern w:val="20"/>
          <w:sz w:val="20"/>
        </w:rPr>
        <w:t>Directive on access to the activity of credit institutions and the prudential supervision of credit institutions and investment firms</w:t>
      </w:r>
      <w:r>
        <w:rPr>
          <w:rStyle w:val="FootnoteReference"/>
          <w:rFonts w:ascii="Arial" w:eastAsia="Calibri" w:hAnsi="Arial" w:cs="Arial"/>
          <w:noProof/>
          <w:sz w:val="20"/>
        </w:rPr>
        <w:footnoteReference w:id="253"/>
      </w:r>
      <w:r>
        <w:rPr>
          <w:rFonts w:ascii="Arial" w:eastAsia="Calibri" w:hAnsi="Arial" w:cs="Arial"/>
          <w:noProof/>
          <w:kern w:val="20"/>
          <w:sz w:val="20"/>
        </w:rPr>
        <w:t>;</w:t>
      </w:r>
    </w:p>
    <w:p w:rsidR="00E26342" w:rsidRDefault="00040788">
      <w:pPr>
        <w:numPr>
          <w:ilvl w:val="1"/>
          <w:numId w:val="2"/>
        </w:numPr>
        <w:spacing w:after="200"/>
        <w:ind w:left="1843" w:hanging="425"/>
        <w:contextualSpacing/>
        <w:rPr>
          <w:rFonts w:ascii="Arial" w:eastAsia="Calibri" w:hAnsi="Arial" w:cs="Arial"/>
          <w:noProof/>
          <w:kern w:val="20"/>
          <w:sz w:val="20"/>
        </w:rPr>
      </w:pPr>
      <w:r>
        <w:rPr>
          <w:rFonts w:ascii="Arial" w:eastAsia="Calibri" w:hAnsi="Arial" w:cs="Arial"/>
          <w:noProof/>
          <w:kern w:val="20"/>
          <w:sz w:val="20"/>
        </w:rPr>
        <w:t>amending Nuclear Safety Directive</w:t>
      </w:r>
      <w:r>
        <w:rPr>
          <w:rFonts w:ascii="Arial" w:eastAsia="Calibri" w:hAnsi="Arial" w:cs="Arial"/>
          <w:noProof/>
          <w:kern w:val="20"/>
          <w:sz w:val="20"/>
          <w:vertAlign w:val="superscript"/>
        </w:rPr>
        <w:footnoteReference w:id="254"/>
      </w:r>
      <w:r>
        <w:rPr>
          <w:rFonts w:ascii="Arial" w:eastAsia="Calibri" w:hAnsi="Arial" w:cs="Arial"/>
          <w:noProof/>
          <w:kern w:val="20"/>
          <w:sz w:val="20"/>
        </w:rPr>
        <w:t>.</w:t>
      </w:r>
    </w:p>
    <w:p w:rsidR="00E26342" w:rsidRDefault="00040788">
      <w:pPr>
        <w:pStyle w:val="AnnualReport1"/>
        <w:spacing w:after="240"/>
        <w:ind w:left="709" w:hanging="425"/>
        <w:rPr>
          <w:noProof/>
        </w:rPr>
      </w:pPr>
      <w:r>
        <w:rPr>
          <w:noProof/>
        </w:rPr>
        <w:t>IMPORTAN</w:t>
      </w:r>
      <w:r>
        <w:rPr>
          <w:noProof/>
        </w:rPr>
        <w:t>T JUDGMENTS</w:t>
      </w:r>
    </w:p>
    <w:p w:rsidR="00E26342" w:rsidRDefault="00040788">
      <w:pPr>
        <w:pStyle w:val="AnnualReport2"/>
        <w:numPr>
          <w:ilvl w:val="0"/>
          <w:numId w:val="74"/>
        </w:numPr>
        <w:ind w:left="709" w:hanging="425"/>
        <w:rPr>
          <w:noProof/>
        </w:rPr>
      </w:pPr>
      <w:r>
        <w:rPr>
          <w:noProof/>
        </w:rPr>
        <w:t>Court ruling</w:t>
      </w:r>
      <w:r>
        <w:rPr>
          <w:rStyle w:val="FootnoteReference"/>
          <w:noProof/>
        </w:rPr>
        <w:footnoteReference w:id="255"/>
      </w:r>
    </w:p>
    <w:p w:rsidR="00E26342" w:rsidRDefault="00040788">
      <w:pPr>
        <w:pStyle w:val="Body"/>
        <w:rPr>
          <w:noProof/>
          <w:lang w:val="en-GB"/>
        </w:rPr>
      </w:pPr>
      <w:r>
        <w:rPr>
          <w:noProof/>
          <w:lang w:val="en-GB"/>
        </w:rPr>
        <w:t>The Court ruled in 2017 that:</w:t>
      </w:r>
    </w:p>
    <w:p w:rsidR="00E26342" w:rsidRDefault="00040788">
      <w:pPr>
        <w:pStyle w:val="Lijstje2"/>
        <w:spacing w:after="0"/>
        <w:ind w:left="1276" w:hanging="425"/>
        <w:rPr>
          <w:rFonts w:ascii="Arial" w:hAnsi="Arial" w:cs="Arial"/>
          <w:noProof/>
          <w:lang w:val="en-GB"/>
        </w:rPr>
      </w:pPr>
      <w:r>
        <w:rPr>
          <w:rFonts w:ascii="Arial" w:hAnsi="Arial"/>
          <w:noProof/>
          <w:lang w:val="en-GB"/>
        </w:rPr>
        <w:t>Slovenia</w:t>
      </w:r>
      <w:r>
        <w:rPr>
          <w:rFonts w:ascii="Arial" w:hAnsi="Arial" w:cs="Arial"/>
          <w:noProof/>
          <w:lang w:val="en-GB"/>
        </w:rPr>
        <w:t xml:space="preserve"> has failed to ensure appropriate storage and landfill of waste tyres in Lovrenc na Dravskem polju, in breach of EU directives on waste</w:t>
      </w:r>
      <w:r>
        <w:rPr>
          <w:rStyle w:val="FootnoteReference"/>
          <w:rFonts w:ascii="Arial" w:hAnsi="Arial" w:cs="Arial"/>
          <w:bCs/>
          <w:noProof/>
          <w:lang w:val="en-GB"/>
        </w:rPr>
        <w:footnoteReference w:id="256"/>
      </w:r>
      <w:r>
        <w:rPr>
          <w:rFonts w:ascii="Arial" w:hAnsi="Arial" w:cs="Arial"/>
          <w:noProof/>
          <w:lang w:val="en-GB"/>
        </w:rPr>
        <w:t>.</w:t>
      </w:r>
    </w:p>
    <w:p w:rsidR="00E26342" w:rsidRDefault="00040788">
      <w:pPr>
        <w:pStyle w:val="AnnualReport2"/>
        <w:numPr>
          <w:ilvl w:val="0"/>
          <w:numId w:val="63"/>
        </w:numPr>
        <w:ind w:left="709" w:hanging="425"/>
        <w:rPr>
          <w:noProof/>
        </w:rPr>
      </w:pPr>
      <w:r>
        <w:rPr>
          <w:noProof/>
        </w:rPr>
        <w:t>Preliminary rulings</w:t>
      </w:r>
    </w:p>
    <w:p w:rsidR="00E26342" w:rsidRDefault="00040788">
      <w:pPr>
        <w:pStyle w:val="Body"/>
        <w:ind w:left="426" w:firstLine="294"/>
        <w:rPr>
          <w:noProof/>
          <w:lang w:val="en-GB"/>
        </w:rPr>
      </w:pPr>
      <w:r>
        <w:rPr>
          <w:noProof/>
          <w:lang w:val="en-GB"/>
        </w:rPr>
        <w:t xml:space="preserve">The Court addressed the following </w:t>
      </w:r>
      <w:r>
        <w:rPr>
          <w:noProof/>
          <w:lang w:val="en-GB"/>
        </w:rPr>
        <w:t xml:space="preserve">preliminary ruling to the Slovenian judiciary. </w:t>
      </w:r>
    </w:p>
    <w:p w:rsidR="00E26342" w:rsidRDefault="00040788">
      <w:pPr>
        <w:pStyle w:val="Lijstje2"/>
        <w:ind w:left="1276" w:hanging="425"/>
        <w:rPr>
          <w:rFonts w:ascii="Arial" w:hAnsi="Arial" w:cs="Arial"/>
          <w:noProof/>
          <w:lang w:val="en-GB"/>
        </w:rPr>
      </w:pPr>
      <w:r>
        <w:rPr>
          <w:rFonts w:ascii="Arial" w:hAnsi="Arial" w:cs="Arial"/>
          <w:noProof/>
          <w:lang w:val="en-GB"/>
        </w:rPr>
        <w:t xml:space="preserve">The transfer of an asylum-seeker to the Member State responsible for examining the asylum application cannot go ahead if it might result in a risk of the person concerned suffering inhuman or degrading </w:t>
      </w:r>
      <w:r>
        <w:rPr>
          <w:rFonts w:ascii="Arial" w:hAnsi="Arial" w:cs="Arial"/>
          <w:noProof/>
          <w:lang w:val="en-GB"/>
        </w:rPr>
        <w:t>treatment. The transfer of an asylum-seeker with a particularly serious mental or physical illness that would risk worsening that person’s health would constitute inhuman and degrading treatment</w:t>
      </w:r>
      <w:r>
        <w:rPr>
          <w:rStyle w:val="FootnoteReference"/>
          <w:rFonts w:ascii="Arial" w:hAnsi="Arial" w:cs="Arial"/>
          <w:noProof/>
          <w:lang w:val="en-GB"/>
        </w:rPr>
        <w:footnoteReference w:id="257"/>
      </w:r>
      <w:r>
        <w:rPr>
          <w:rFonts w:ascii="Arial" w:hAnsi="Arial" w:cs="Arial"/>
          <w:noProof/>
          <w:lang w:val="en-GB"/>
        </w:rPr>
        <w:t>.</w:t>
      </w:r>
    </w:p>
    <w:p w:rsidR="00E26342" w:rsidRDefault="00E26342">
      <w:pPr>
        <w:spacing w:after="120"/>
        <w:contextualSpacing/>
        <w:rPr>
          <w:rFonts w:ascii="Arial" w:hAnsi="Arial" w:cs="Arial"/>
          <w:noProof/>
          <w:sz w:val="20"/>
        </w:rPr>
      </w:pPr>
    </w:p>
    <w:p w:rsidR="00E26342" w:rsidRDefault="00E26342">
      <w:pPr>
        <w:spacing w:after="120"/>
        <w:ind w:firstLine="709"/>
        <w:rPr>
          <w:rFonts w:ascii="Arial" w:hAnsi="Arial" w:cs="Arial"/>
          <w:noProof/>
          <w:sz w:val="20"/>
        </w:rPr>
        <w:sectPr w:rsidR="00E26342">
          <w:headerReference w:type="even" r:id="rId166"/>
          <w:headerReference w:type="default" r:id="rId167"/>
          <w:footerReference w:type="even" r:id="rId168"/>
          <w:footerReference w:type="default" r:id="rId169"/>
          <w:headerReference w:type="first" r:id="rId170"/>
          <w:footerReference w:type="first" r:id="rId171"/>
          <w:footnotePr>
            <w:numRestart w:val="eachSect"/>
          </w:footnotePr>
          <w:pgSz w:w="11906" w:h="16838"/>
          <w:pgMar w:top="1701" w:right="1417" w:bottom="1134" w:left="1417" w:header="567" w:footer="351" w:gutter="0"/>
          <w:cols w:space="708"/>
          <w:titlePg/>
          <w:docGrid w:linePitch="360"/>
        </w:sectPr>
      </w:pPr>
    </w:p>
    <w:p w:rsidR="00E26342" w:rsidRDefault="00040788">
      <w:pPr>
        <w:pStyle w:val="Heading1"/>
        <w:rPr>
          <w:noProof/>
          <w:sz w:val="22"/>
        </w:rPr>
      </w:pPr>
      <w:bookmarkStart w:id="51" w:name="_Toc484622341"/>
      <w:bookmarkStart w:id="52" w:name="_Toc510015290"/>
      <w:r>
        <w:rPr>
          <w:noProof/>
          <w:sz w:val="22"/>
        </w:rPr>
        <w:t>Slovakia</w:t>
      </w:r>
      <w:bookmarkEnd w:id="48"/>
      <w:bookmarkEnd w:id="49"/>
      <w:bookmarkEnd w:id="50"/>
      <w:bookmarkEnd w:id="51"/>
      <w:bookmarkEnd w:id="52"/>
    </w:p>
    <w:p w:rsidR="00E26342" w:rsidRDefault="00040788">
      <w:pPr>
        <w:pStyle w:val="kop2"/>
        <w:numPr>
          <w:ilvl w:val="0"/>
          <w:numId w:val="44"/>
        </w:numPr>
        <w:spacing w:before="360" w:after="240"/>
        <w:ind w:left="709" w:hanging="425"/>
        <w:rPr>
          <w:noProof/>
        </w:rPr>
      </w:pPr>
      <w:r>
        <w:rPr>
          <w:noProof/>
        </w:rPr>
        <w:t>COMPLAINTS</w:t>
      </w:r>
    </w:p>
    <w:p w:rsidR="00E26342" w:rsidRDefault="00040788">
      <w:pPr>
        <w:pStyle w:val="AnnualReport2"/>
        <w:numPr>
          <w:ilvl w:val="0"/>
          <w:numId w:val="132"/>
        </w:numPr>
        <w:ind w:left="709" w:hanging="425"/>
        <w:rPr>
          <w:noProof/>
        </w:rPr>
      </w:pPr>
      <w:r>
        <w:rPr>
          <w:noProof/>
        </w:rPr>
        <w:t xml:space="preserve">New complaints made against Slovakia by </w:t>
      </w:r>
      <w:r>
        <w:rPr>
          <w:noProof/>
        </w:rPr>
        <w:t>members of the public (2013-2017)</w:t>
      </w:r>
    </w:p>
    <w:p w:rsidR="00E26342" w:rsidRDefault="00040788">
      <w:pPr>
        <w:ind w:firstLine="709"/>
        <w:rPr>
          <w:rFonts w:ascii="Arial" w:hAnsi="Arial" w:cs="Arial"/>
          <w:noProof/>
          <w:sz w:val="20"/>
        </w:rPr>
      </w:pPr>
      <w:r>
        <w:rPr>
          <w:rFonts w:ascii="Arial" w:hAnsi="Arial" w:cs="Arial"/>
          <w:noProof/>
          <w:sz w:val="20"/>
          <w:lang w:eastAsia="en-GB"/>
        </w:rPr>
        <w:drawing>
          <wp:inline distT="0" distB="0" distL="0" distR="0" wp14:anchorId="6F0D3A34" wp14:editId="697EE123">
            <wp:extent cx="4612005" cy="2385695"/>
            <wp:effectExtent l="0" t="0" r="0" b="0"/>
            <wp:docPr id="266"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rsidR="00E26342" w:rsidRDefault="00040788">
      <w:pPr>
        <w:pStyle w:val="AnnualReport2"/>
        <w:numPr>
          <w:ilvl w:val="0"/>
          <w:numId w:val="132"/>
        </w:numPr>
        <w:ind w:left="709" w:hanging="425"/>
        <w:rPr>
          <w:noProof/>
        </w:rPr>
      </w:pPr>
      <w:r>
        <w:rPr>
          <w:noProof/>
        </w:rPr>
        <w:t>Public complaints against Slovakia open at year-end</w:t>
      </w:r>
    </w:p>
    <w:tbl>
      <w:tblPr>
        <w:tblW w:w="0" w:type="auto"/>
        <w:jc w:val="center"/>
        <w:tblLook w:val="04A0" w:firstRow="1" w:lastRow="0" w:firstColumn="1" w:lastColumn="0" w:noHBand="0" w:noVBand="1"/>
      </w:tblPr>
      <w:tblGrid>
        <w:gridCol w:w="1697"/>
        <w:gridCol w:w="355"/>
        <w:gridCol w:w="5310"/>
      </w:tblGrid>
      <w:tr w:rsidR="00E26342">
        <w:trPr>
          <w:trHeight w:val="403"/>
          <w:jc w:val="center"/>
        </w:trPr>
        <w:tc>
          <w:tcPr>
            <w:tcW w:w="1697" w:type="dxa"/>
            <w:shd w:val="clear" w:color="auto" w:fill="auto"/>
            <w:vAlign w:val="center"/>
          </w:tcPr>
          <w:p w:rsidR="00E26342" w:rsidRDefault="00040788">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39</w:t>
            </w:r>
          </w:p>
        </w:tc>
        <w:tc>
          <w:tcPr>
            <w:tcW w:w="355" w:type="dxa"/>
            <w:shd w:val="clear" w:color="auto" w:fill="auto"/>
            <w:vAlign w:val="center"/>
          </w:tcPr>
          <w:p w:rsidR="00E26342" w:rsidRDefault="00040788">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E26342" w:rsidRDefault="00040788">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Complaints open at end-2016</w:t>
            </w:r>
          </w:p>
        </w:tc>
      </w:tr>
      <w:tr w:rsidR="00E26342">
        <w:trPr>
          <w:trHeight w:val="403"/>
          <w:jc w:val="center"/>
        </w:trPr>
        <w:tc>
          <w:tcPr>
            <w:tcW w:w="1697" w:type="dxa"/>
            <w:shd w:val="clear" w:color="auto" w:fill="auto"/>
            <w:vAlign w:val="center"/>
          </w:tcPr>
          <w:p w:rsidR="00E26342" w:rsidRDefault="00040788">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61</w:t>
            </w:r>
          </w:p>
        </w:tc>
        <w:tc>
          <w:tcPr>
            <w:tcW w:w="355" w:type="dxa"/>
            <w:shd w:val="clear" w:color="auto" w:fill="auto"/>
            <w:vAlign w:val="center"/>
          </w:tcPr>
          <w:p w:rsidR="00E26342" w:rsidRDefault="00040788">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E26342" w:rsidRDefault="00040788">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New complaints registered in 2017</w:t>
            </w:r>
          </w:p>
        </w:tc>
      </w:tr>
      <w:tr w:rsidR="00E26342">
        <w:trPr>
          <w:trHeight w:val="403"/>
          <w:jc w:val="center"/>
        </w:trPr>
        <w:tc>
          <w:tcPr>
            <w:tcW w:w="1697" w:type="dxa"/>
            <w:tcBorders>
              <w:bottom w:val="single" w:sz="24" w:space="0" w:color="548DD4"/>
            </w:tcBorders>
            <w:shd w:val="clear" w:color="auto" w:fill="auto"/>
            <w:vAlign w:val="center"/>
          </w:tcPr>
          <w:p w:rsidR="00E26342" w:rsidRDefault="00040788">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51</w:t>
            </w:r>
          </w:p>
        </w:tc>
        <w:tc>
          <w:tcPr>
            <w:tcW w:w="355" w:type="dxa"/>
            <w:shd w:val="clear" w:color="auto" w:fill="auto"/>
            <w:vAlign w:val="center"/>
          </w:tcPr>
          <w:p w:rsidR="00E26342" w:rsidRDefault="00040788">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E26342" w:rsidRDefault="00040788">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Complaints handled in 2017</w:t>
            </w:r>
          </w:p>
        </w:tc>
      </w:tr>
      <w:tr w:rsidR="00E26342">
        <w:trPr>
          <w:trHeight w:val="403"/>
          <w:jc w:val="center"/>
        </w:trPr>
        <w:tc>
          <w:tcPr>
            <w:tcW w:w="1697" w:type="dxa"/>
            <w:tcBorders>
              <w:top w:val="single" w:sz="24" w:space="0" w:color="548DD4"/>
            </w:tcBorders>
            <w:shd w:val="clear" w:color="auto" w:fill="auto"/>
            <w:vAlign w:val="center"/>
          </w:tcPr>
          <w:p w:rsidR="00E26342" w:rsidRDefault="00040788">
            <w:pPr>
              <w:spacing w:after="0"/>
              <w:jc w:val="right"/>
              <w:rPr>
                <w:rFonts w:ascii="Arial" w:hAnsi="Arial" w:cs="Arial"/>
                <w:noProof/>
                <w:color w:val="C00000"/>
                <w:sz w:val="22"/>
                <w:szCs w:val="28"/>
                <w:lang w:eastAsia="en-GB"/>
              </w:rPr>
            </w:pPr>
            <w:r>
              <w:rPr>
                <w:rFonts w:ascii="Arial" w:hAnsi="Arial" w:cs="Arial"/>
                <w:noProof/>
                <w:color w:val="C00000"/>
                <w:sz w:val="22"/>
                <w:szCs w:val="28"/>
                <w:lang w:eastAsia="en-GB"/>
              </w:rPr>
              <w:t>= 49</w:t>
            </w:r>
          </w:p>
        </w:tc>
        <w:tc>
          <w:tcPr>
            <w:tcW w:w="355" w:type="dxa"/>
            <w:shd w:val="clear" w:color="auto" w:fill="auto"/>
            <w:vAlign w:val="center"/>
          </w:tcPr>
          <w:p w:rsidR="00E26342" w:rsidRDefault="00040788">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E26342" w:rsidRDefault="00040788">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Complaints open at end-2017</w:t>
            </w:r>
          </w:p>
        </w:tc>
      </w:tr>
    </w:tbl>
    <w:p w:rsidR="00E26342" w:rsidRDefault="00040788">
      <w:pPr>
        <w:pStyle w:val="AnnualReport2"/>
        <w:numPr>
          <w:ilvl w:val="0"/>
          <w:numId w:val="132"/>
        </w:numPr>
        <w:ind w:left="709" w:hanging="425"/>
        <w:rPr>
          <w:noProof/>
        </w:rPr>
      </w:pPr>
      <w:r>
        <w:rPr>
          <w:noProof/>
        </w:rPr>
        <w:t>New complaints registered</w:t>
      </w:r>
      <w:r>
        <w:rPr>
          <w:noProof/>
        </w:rPr>
        <w:t xml:space="preserve"> in 2017: main policy areas</w:t>
      </w:r>
    </w:p>
    <w:p w:rsidR="00E26342" w:rsidRDefault="00040788">
      <w:pPr>
        <w:spacing w:after="120"/>
        <w:ind w:firstLine="709"/>
        <w:rPr>
          <w:rFonts w:ascii="Arial" w:hAnsi="Arial" w:cs="Arial"/>
          <w:noProof/>
          <w:sz w:val="20"/>
        </w:rPr>
      </w:pPr>
      <w:r>
        <w:rPr>
          <w:rFonts w:ascii="Arial" w:hAnsi="Arial" w:cs="Arial"/>
          <w:noProof/>
          <w:sz w:val="20"/>
          <w:lang w:eastAsia="en-GB"/>
        </w:rPr>
        <w:drawing>
          <wp:inline distT="0" distB="0" distL="0" distR="0" wp14:anchorId="438FEC7B" wp14:editId="037012B0">
            <wp:extent cx="4627880" cy="2353310"/>
            <wp:effectExtent l="0" t="0" r="20320" b="27940"/>
            <wp:docPr id="267" name="Grafiek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rsidR="00E26342" w:rsidRDefault="00040788">
      <w:pPr>
        <w:spacing w:after="200" w:line="276" w:lineRule="auto"/>
        <w:jc w:val="left"/>
        <w:rPr>
          <w:rFonts w:ascii="Arial" w:hAnsi="Arial" w:cs="Arial"/>
          <w:noProof/>
          <w:sz w:val="20"/>
        </w:rPr>
      </w:pPr>
      <w:r>
        <w:rPr>
          <w:noProof/>
        </w:rPr>
        <w:br w:type="page"/>
      </w:r>
    </w:p>
    <w:p w:rsidR="00E26342" w:rsidRDefault="00040788">
      <w:pPr>
        <w:pStyle w:val="kop2"/>
        <w:numPr>
          <w:ilvl w:val="0"/>
          <w:numId w:val="44"/>
        </w:numPr>
        <w:spacing w:after="0"/>
        <w:ind w:left="709" w:hanging="425"/>
        <w:rPr>
          <w:noProof/>
        </w:rPr>
      </w:pPr>
      <w:r>
        <w:rPr>
          <w:noProof/>
        </w:rPr>
        <w:t>EU PILOT</w:t>
      </w:r>
    </w:p>
    <w:p w:rsidR="00E26342" w:rsidRDefault="00040788">
      <w:pPr>
        <w:pStyle w:val="AnnualReport2"/>
        <w:numPr>
          <w:ilvl w:val="0"/>
          <w:numId w:val="135"/>
        </w:numPr>
        <w:ind w:left="709" w:hanging="425"/>
        <w:rPr>
          <w:noProof/>
        </w:rPr>
      </w:pPr>
      <w:r>
        <w:rPr>
          <w:noProof/>
        </w:rPr>
        <w:t>New EU Pilot files opened against Slovakia (2013-2017)</w:t>
      </w:r>
    </w:p>
    <w:p w:rsidR="00E26342" w:rsidRDefault="00040788">
      <w:pPr>
        <w:tabs>
          <w:tab w:val="left" w:pos="0"/>
        </w:tabs>
        <w:ind w:firstLine="709"/>
        <w:rPr>
          <w:rFonts w:ascii="Arial" w:hAnsi="Arial" w:cs="Arial"/>
          <w:noProof/>
          <w:sz w:val="20"/>
        </w:rPr>
      </w:pPr>
      <w:r>
        <w:rPr>
          <w:rFonts w:ascii="Arial" w:hAnsi="Arial" w:cs="Arial"/>
          <w:noProof/>
          <w:sz w:val="20"/>
          <w:lang w:eastAsia="en-GB"/>
        </w:rPr>
        <w:drawing>
          <wp:inline distT="0" distB="0" distL="0" distR="0" wp14:anchorId="7D89A1E8" wp14:editId="2415356C">
            <wp:extent cx="4619625" cy="2298065"/>
            <wp:effectExtent l="0" t="0" r="0" b="0"/>
            <wp:docPr id="268"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rsidR="00E26342" w:rsidRDefault="00040788">
      <w:pPr>
        <w:pStyle w:val="AnnualReport2"/>
        <w:numPr>
          <w:ilvl w:val="0"/>
          <w:numId w:val="135"/>
        </w:numPr>
        <w:ind w:left="709" w:hanging="425"/>
        <w:rPr>
          <w:noProof/>
        </w:rPr>
      </w:pPr>
      <w:r>
        <w:rPr>
          <w:noProof/>
        </w:rPr>
        <w:t>Files relating to Slovakia open in EU Pilot at year-end</w:t>
      </w:r>
    </w:p>
    <w:p w:rsidR="00E26342" w:rsidRDefault="00040788">
      <w:pPr>
        <w:spacing w:after="120"/>
        <w:ind w:firstLine="709"/>
        <w:rPr>
          <w:rFonts w:ascii="Arial" w:hAnsi="Arial" w:cs="Arial"/>
          <w:noProof/>
          <w:sz w:val="20"/>
        </w:rPr>
      </w:pPr>
      <w:r>
        <w:rPr>
          <w:rFonts w:ascii="Arial" w:hAnsi="Arial" w:cs="Arial"/>
          <w:noProof/>
          <w:sz w:val="20"/>
          <w:lang w:eastAsia="en-GB"/>
        </w:rPr>
        <w:drawing>
          <wp:inline distT="0" distB="0" distL="0" distR="0" wp14:anchorId="5CAF388A" wp14:editId="4918EAD6">
            <wp:extent cx="4619625" cy="2298065"/>
            <wp:effectExtent l="0" t="0" r="0" b="0"/>
            <wp:docPr id="269"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rsidR="00E26342" w:rsidRDefault="00040788">
      <w:pPr>
        <w:pStyle w:val="AnnualReport2"/>
        <w:numPr>
          <w:ilvl w:val="0"/>
          <w:numId w:val="135"/>
        </w:numPr>
        <w:ind w:left="709" w:hanging="425"/>
        <w:rPr>
          <w:noProof/>
        </w:rPr>
      </w:pPr>
      <w:r>
        <w:rPr>
          <w:noProof/>
        </w:rPr>
        <w:t>New EU Pilot files opened in 2017: main policy areas</w:t>
      </w:r>
    </w:p>
    <w:p w:rsidR="00E26342" w:rsidRDefault="00040788">
      <w:pPr>
        <w:spacing w:after="120"/>
        <w:ind w:firstLine="709"/>
        <w:rPr>
          <w:rFonts w:ascii="Arial" w:hAnsi="Arial" w:cs="Arial"/>
          <w:noProof/>
          <w:sz w:val="20"/>
        </w:rPr>
      </w:pPr>
      <w:r>
        <w:rPr>
          <w:rFonts w:ascii="Arial" w:hAnsi="Arial" w:cs="Arial"/>
          <w:noProof/>
          <w:sz w:val="20"/>
          <w:lang w:eastAsia="en-GB"/>
        </w:rPr>
        <w:drawing>
          <wp:inline distT="0" distB="0" distL="0" distR="0" wp14:anchorId="5BF5F260" wp14:editId="05603687">
            <wp:extent cx="4643755" cy="2440940"/>
            <wp:effectExtent l="0" t="0" r="23495" b="16510"/>
            <wp:docPr id="270" name="Grafiek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rsidR="00E26342" w:rsidRDefault="00040788">
      <w:pPr>
        <w:pStyle w:val="AnnualReport2"/>
        <w:numPr>
          <w:ilvl w:val="0"/>
          <w:numId w:val="135"/>
        </w:numPr>
        <w:ind w:left="709" w:hanging="425"/>
        <w:rPr>
          <w:noProof/>
        </w:rPr>
      </w:pPr>
      <w:r>
        <w:rPr>
          <w:noProof/>
        </w:rPr>
        <w:t>EU Pilot files: Slovakia’s resolution rate in</w:t>
      </w:r>
      <w:r>
        <w:rPr>
          <w:noProof/>
        </w:rPr>
        <w:t xml:space="preserve"> 2013-2017</w:t>
      </w:r>
    </w:p>
    <w:p w:rsidR="00E26342" w:rsidRDefault="00040788">
      <w:pPr>
        <w:spacing w:after="120"/>
        <w:ind w:firstLine="709"/>
        <w:rPr>
          <w:rFonts w:ascii="Arial" w:hAnsi="Arial" w:cs="Arial"/>
          <w:noProof/>
          <w:sz w:val="20"/>
        </w:rPr>
      </w:pPr>
      <w:r>
        <w:rPr>
          <w:rFonts w:ascii="Arial" w:hAnsi="Arial" w:cs="Arial"/>
          <w:noProof/>
          <w:sz w:val="20"/>
          <w:lang w:eastAsia="en-GB"/>
        </w:rPr>
        <w:drawing>
          <wp:inline distT="0" distB="0" distL="0" distR="0" wp14:anchorId="571890DD" wp14:editId="647A547C">
            <wp:extent cx="4587875" cy="2313940"/>
            <wp:effectExtent l="0" t="0" r="22225" b="10160"/>
            <wp:docPr id="271"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rsidR="00E26342" w:rsidRDefault="00040788">
      <w:pPr>
        <w:pStyle w:val="kop2"/>
        <w:numPr>
          <w:ilvl w:val="0"/>
          <w:numId w:val="44"/>
        </w:numPr>
        <w:spacing w:before="360" w:after="240"/>
        <w:ind w:left="709" w:hanging="425"/>
        <w:rPr>
          <w:noProof/>
        </w:rPr>
      </w:pPr>
      <w:r>
        <w:rPr>
          <w:noProof/>
        </w:rPr>
        <w:t>INFRINGEMENT CASES</w:t>
      </w:r>
    </w:p>
    <w:p w:rsidR="00E26342" w:rsidRDefault="00040788">
      <w:pPr>
        <w:pStyle w:val="AnnualReport2"/>
        <w:numPr>
          <w:ilvl w:val="0"/>
          <w:numId w:val="69"/>
        </w:numPr>
        <w:ind w:left="709" w:hanging="425"/>
        <w:rPr>
          <w:noProof/>
        </w:rPr>
      </w:pPr>
      <w:r>
        <w:rPr>
          <w:noProof/>
        </w:rPr>
        <w:t>Infringement cases against Slovakia open on 31 December (2013-2017)</w:t>
      </w:r>
    </w:p>
    <w:p w:rsidR="00E26342" w:rsidRDefault="00040788">
      <w:pPr>
        <w:spacing w:after="120"/>
        <w:ind w:firstLine="709"/>
        <w:rPr>
          <w:rFonts w:ascii="Arial" w:hAnsi="Arial" w:cs="Arial"/>
          <w:noProof/>
          <w:sz w:val="20"/>
        </w:rPr>
      </w:pPr>
      <w:r>
        <w:rPr>
          <w:rFonts w:ascii="Arial" w:hAnsi="Arial" w:cs="Arial"/>
          <w:noProof/>
          <w:sz w:val="20"/>
          <w:lang w:eastAsia="en-GB"/>
        </w:rPr>
        <w:drawing>
          <wp:inline distT="0" distB="0" distL="0" distR="0" wp14:anchorId="44080FF5" wp14:editId="04590DF6">
            <wp:extent cx="4572000" cy="2369185"/>
            <wp:effectExtent l="0" t="0" r="0" b="0"/>
            <wp:docPr id="272" name="Grafiek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p w:rsidR="00E26342" w:rsidRDefault="00040788">
      <w:pPr>
        <w:pStyle w:val="AnnualReport2"/>
        <w:numPr>
          <w:ilvl w:val="0"/>
          <w:numId w:val="63"/>
        </w:numPr>
        <w:ind w:left="709" w:hanging="425"/>
        <w:rPr>
          <w:noProof/>
        </w:rPr>
      </w:pPr>
      <w:r>
        <w:rPr>
          <w:noProof/>
        </w:rPr>
        <w:t>New infringement cases opened in 2017: main policy areas</w:t>
      </w:r>
    </w:p>
    <w:p w:rsidR="00E26342" w:rsidRDefault="00040788">
      <w:pPr>
        <w:spacing w:after="120"/>
        <w:ind w:firstLine="709"/>
        <w:rPr>
          <w:rFonts w:ascii="Arial" w:hAnsi="Arial" w:cs="Arial"/>
          <w:noProof/>
          <w:sz w:val="20"/>
        </w:rPr>
      </w:pPr>
      <w:r>
        <w:rPr>
          <w:rFonts w:ascii="Arial" w:hAnsi="Arial" w:cs="Arial"/>
          <w:noProof/>
          <w:sz w:val="20"/>
          <w:lang w:eastAsia="en-GB"/>
        </w:rPr>
        <w:drawing>
          <wp:inline distT="0" distB="0" distL="0" distR="0" wp14:anchorId="677955AE" wp14:editId="34D8E0B5">
            <wp:extent cx="4716780" cy="2263140"/>
            <wp:effectExtent l="0" t="0" r="26670" b="22860"/>
            <wp:docPr id="273" name="Object 27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p w:rsidR="00E26342" w:rsidRDefault="00040788">
      <w:pPr>
        <w:pStyle w:val="AnnualReport2"/>
        <w:numPr>
          <w:ilvl w:val="0"/>
          <w:numId w:val="63"/>
        </w:numPr>
        <w:ind w:left="709" w:hanging="425"/>
        <w:rPr>
          <w:noProof/>
        </w:rPr>
      </w:pPr>
      <w:r>
        <w:rPr>
          <w:noProof/>
        </w:rPr>
        <w:t>Key infringement cases and referrals to the Court</w:t>
      </w:r>
    </w:p>
    <w:p w:rsidR="00E26342" w:rsidRDefault="00040788">
      <w:pPr>
        <w:pStyle w:val="Lijstje"/>
        <w:numPr>
          <w:ilvl w:val="0"/>
          <w:numId w:val="45"/>
        </w:numPr>
        <w:spacing w:before="360" w:after="240"/>
        <w:ind w:left="1276" w:hanging="425"/>
        <w:rPr>
          <w:noProof/>
        </w:rPr>
      </w:pPr>
      <w:r>
        <w:rPr>
          <w:noProof/>
        </w:rPr>
        <w:t xml:space="preserve">The Commission opened 21 new infringement </w:t>
      </w:r>
      <w:r>
        <w:rPr>
          <w:noProof/>
        </w:rPr>
        <w:t>cases against Slovakia in 2017. These, and other major ongoing infringement cases, include:</w:t>
      </w:r>
    </w:p>
    <w:p w:rsidR="00E26342" w:rsidRDefault="00040788">
      <w:pPr>
        <w:pStyle w:val="Lijstje2"/>
        <w:spacing w:after="200"/>
        <w:ind w:left="1843" w:hanging="426"/>
        <w:rPr>
          <w:rFonts w:ascii="Arial" w:hAnsi="Arial" w:cs="Arial"/>
          <w:noProof/>
          <w:lang w:val="en-GB"/>
        </w:rPr>
      </w:pPr>
      <w:r>
        <w:rPr>
          <w:rFonts w:ascii="Arial" w:hAnsi="Arial" w:cs="Arial"/>
          <w:noProof/>
          <w:lang w:val="en-GB"/>
        </w:rPr>
        <w:t xml:space="preserve">failure to ensure </w:t>
      </w:r>
      <w:r>
        <w:rPr>
          <w:rFonts w:ascii="Arial" w:eastAsia="Times New Roman" w:hAnsi="Arial" w:cs="Arial"/>
          <w:noProof/>
          <w:kern w:val="0"/>
          <w:lang w:val="en-GB"/>
        </w:rPr>
        <w:t>that</w:t>
      </w:r>
      <w:r>
        <w:rPr>
          <w:rFonts w:ascii="Arial" w:hAnsi="Arial" w:cs="Arial"/>
          <w:noProof/>
          <w:lang w:val="en-GB"/>
        </w:rPr>
        <w:t xml:space="preserve"> waste landfills operate in compliance with EU standards;</w:t>
      </w:r>
    </w:p>
    <w:p w:rsidR="00E26342" w:rsidRDefault="00040788">
      <w:pPr>
        <w:pStyle w:val="Lijstje2"/>
        <w:spacing w:after="200"/>
        <w:ind w:left="1843" w:hanging="426"/>
        <w:rPr>
          <w:rFonts w:ascii="Arial" w:hAnsi="Arial" w:cs="Arial"/>
          <w:noProof/>
          <w:lang w:val="en-GB"/>
        </w:rPr>
      </w:pPr>
      <w:r>
        <w:rPr>
          <w:rFonts w:ascii="Arial" w:hAnsi="Arial" w:cs="Arial"/>
          <w:noProof/>
          <w:lang w:val="en-GB"/>
        </w:rPr>
        <w:t>failure to ensure that urban waste water is adequately treated;</w:t>
      </w:r>
    </w:p>
    <w:p w:rsidR="00E26342" w:rsidRDefault="00040788">
      <w:pPr>
        <w:pStyle w:val="Lijstje2"/>
        <w:spacing w:after="200"/>
        <w:ind w:left="1843" w:hanging="426"/>
        <w:rPr>
          <w:rFonts w:ascii="Arial" w:hAnsi="Arial" w:cs="Arial"/>
          <w:noProof/>
          <w:lang w:val="en-GB"/>
        </w:rPr>
      </w:pPr>
      <w:r>
        <w:rPr>
          <w:rFonts w:ascii="Arial" w:hAnsi="Arial" w:cs="Arial"/>
          <w:noProof/>
          <w:lang w:val="en-GB"/>
        </w:rPr>
        <w:t xml:space="preserve">non-compliance with </w:t>
      </w:r>
      <w:r>
        <w:rPr>
          <w:rFonts w:ascii="Arial" w:hAnsi="Arial" w:cs="Arial"/>
          <w:noProof/>
          <w:lang w:val="en-GB"/>
        </w:rPr>
        <w:t>the Regulation on electronic identification and trust services for electronic transactions in the internal market (eIDAS Regulation)</w:t>
      </w:r>
      <w:r>
        <w:rPr>
          <w:rStyle w:val="FootnoteReference"/>
          <w:noProof/>
        </w:rPr>
        <w:footnoteReference w:id="258"/>
      </w:r>
      <w:r>
        <w:rPr>
          <w:rFonts w:ascii="Arial" w:hAnsi="Arial" w:cs="Arial"/>
          <w:noProof/>
          <w:lang w:val="en-GB"/>
        </w:rPr>
        <w:t>;</w:t>
      </w:r>
    </w:p>
    <w:p w:rsidR="00E26342" w:rsidRDefault="00040788">
      <w:pPr>
        <w:pStyle w:val="Lijstje2"/>
        <w:spacing w:after="200"/>
        <w:ind w:left="1843" w:hanging="426"/>
        <w:rPr>
          <w:rFonts w:ascii="Arial" w:hAnsi="Arial" w:cs="Arial"/>
          <w:noProof/>
          <w:lang w:val="en-GB"/>
        </w:rPr>
      </w:pPr>
      <w:r>
        <w:rPr>
          <w:rFonts w:ascii="Arial" w:hAnsi="Arial" w:cs="Arial"/>
          <w:noProof/>
          <w:lang w:val="en-GB"/>
        </w:rPr>
        <w:t>failure to ensure proper monitoring of air quality throughout the whole territory</w:t>
      </w:r>
      <w:r>
        <w:rPr>
          <w:rStyle w:val="FootnoteReference"/>
          <w:rFonts w:ascii="Arial" w:hAnsi="Arial" w:cs="Arial"/>
          <w:noProof/>
          <w:lang w:val="en-GB"/>
        </w:rPr>
        <w:footnoteReference w:id="259"/>
      </w:r>
      <w:r>
        <w:rPr>
          <w:rFonts w:ascii="Arial" w:hAnsi="Arial" w:cs="Arial"/>
          <w:noProof/>
          <w:lang w:val="en-GB"/>
        </w:rPr>
        <w:t>;</w:t>
      </w:r>
    </w:p>
    <w:p w:rsidR="00E26342" w:rsidRDefault="00040788">
      <w:pPr>
        <w:pStyle w:val="Lijstje2"/>
        <w:spacing w:after="200"/>
        <w:ind w:left="1843" w:hanging="426"/>
        <w:rPr>
          <w:rFonts w:ascii="Arial" w:hAnsi="Arial" w:cs="Arial"/>
          <w:i/>
          <w:noProof/>
          <w:lang w:val="en-GB"/>
        </w:rPr>
      </w:pPr>
      <w:r>
        <w:rPr>
          <w:rFonts w:ascii="Arial" w:hAnsi="Arial" w:cs="Arial"/>
          <w:noProof/>
          <w:lang w:val="en-GB"/>
        </w:rPr>
        <w:t xml:space="preserve">failure to establish strategic noise </w:t>
      </w:r>
      <w:r>
        <w:rPr>
          <w:rFonts w:ascii="Arial" w:hAnsi="Arial" w:cs="Arial"/>
          <w:noProof/>
          <w:lang w:val="en-GB"/>
        </w:rPr>
        <w:t>maps and action plans required by the Noise Directive</w:t>
      </w:r>
      <w:r>
        <w:rPr>
          <w:rStyle w:val="FootnoteReference"/>
          <w:rFonts w:ascii="Arial" w:hAnsi="Arial" w:cs="Arial"/>
          <w:noProof/>
          <w:lang w:val="en-GB"/>
        </w:rPr>
        <w:footnoteReference w:id="260"/>
      </w:r>
      <w:r>
        <w:rPr>
          <w:rFonts w:ascii="Arial" w:hAnsi="Arial" w:cs="Arial"/>
          <w:noProof/>
          <w:lang w:val="en-GB"/>
        </w:rPr>
        <w:t>;</w:t>
      </w:r>
    </w:p>
    <w:p w:rsidR="00E26342" w:rsidRDefault="00040788">
      <w:pPr>
        <w:pStyle w:val="Lijstje2"/>
        <w:spacing w:after="200"/>
        <w:ind w:left="1843" w:hanging="426"/>
        <w:rPr>
          <w:rFonts w:ascii="Arial" w:hAnsi="Arial" w:cs="Arial"/>
          <w:i/>
          <w:noProof/>
          <w:lang w:val="en-GB"/>
        </w:rPr>
      </w:pPr>
      <w:r>
        <w:rPr>
          <w:rFonts w:ascii="Arial" w:hAnsi="Arial" w:cs="Arial"/>
          <w:noProof/>
          <w:lang w:val="en-GB"/>
        </w:rPr>
        <w:t>non-communication of national measures transposing the:</w:t>
      </w:r>
    </w:p>
    <w:p w:rsidR="00E26342" w:rsidRDefault="00040788">
      <w:pPr>
        <w:pStyle w:val="Lijstje2"/>
        <w:numPr>
          <w:ilvl w:val="2"/>
          <w:numId w:val="2"/>
        </w:numPr>
        <w:spacing w:after="200"/>
        <w:ind w:left="2410" w:hanging="425"/>
        <w:rPr>
          <w:rFonts w:ascii="Arial" w:hAnsi="Arial" w:cs="Arial"/>
          <w:i/>
          <w:noProof/>
          <w:lang w:val="en-GB"/>
        </w:rPr>
      </w:pPr>
      <w:r>
        <w:rPr>
          <w:rFonts w:ascii="Arial" w:hAnsi="Arial" w:cs="Arial"/>
          <w:noProof/>
          <w:lang w:val="en-GB"/>
        </w:rPr>
        <w:t>Directive laying down calculation methods and reporting requirements</w:t>
      </w:r>
      <w:r>
        <w:rPr>
          <w:rStyle w:val="FootnoteReference"/>
          <w:noProof/>
        </w:rPr>
        <w:footnoteReference w:id="261"/>
      </w:r>
      <w:r>
        <w:rPr>
          <w:rFonts w:ascii="Arial" w:hAnsi="Arial" w:cs="Arial"/>
          <w:noProof/>
          <w:lang w:val="en-GB"/>
        </w:rPr>
        <w:t xml:space="preserve"> pursuant to the Directive on fuels quality</w:t>
      </w:r>
      <w:r>
        <w:rPr>
          <w:rStyle w:val="FootnoteReference"/>
          <w:rFonts w:ascii="Arial" w:hAnsi="Arial" w:cs="Arial"/>
          <w:noProof/>
          <w:lang w:val="en-GB"/>
        </w:rPr>
        <w:footnoteReference w:id="262"/>
      </w:r>
      <w:r>
        <w:rPr>
          <w:rFonts w:ascii="Arial" w:hAnsi="Arial" w:cs="Arial"/>
          <w:noProof/>
          <w:lang w:val="en-GB"/>
        </w:rPr>
        <w:t>;</w:t>
      </w:r>
    </w:p>
    <w:p w:rsidR="00E26342" w:rsidRDefault="00040788">
      <w:pPr>
        <w:pStyle w:val="Lijstje2"/>
        <w:numPr>
          <w:ilvl w:val="2"/>
          <w:numId w:val="2"/>
        </w:numPr>
        <w:spacing w:after="200"/>
        <w:ind w:left="2410" w:hanging="425"/>
        <w:rPr>
          <w:rFonts w:ascii="Arial" w:hAnsi="Arial" w:cs="Arial"/>
          <w:noProof/>
          <w:lang w:val="en-GB"/>
        </w:rPr>
      </w:pPr>
      <w:r>
        <w:rPr>
          <w:rFonts w:ascii="Arial" w:hAnsi="Arial" w:cs="Arial"/>
          <w:noProof/>
          <w:lang w:val="en-GB"/>
        </w:rPr>
        <w:t xml:space="preserve">Fourth Anti-Money Laundering </w:t>
      </w:r>
      <w:r>
        <w:rPr>
          <w:rFonts w:ascii="Arial" w:hAnsi="Arial" w:cs="Arial"/>
          <w:noProof/>
          <w:lang w:val="en-GB"/>
        </w:rPr>
        <w:t>Directive</w:t>
      </w:r>
      <w:r>
        <w:rPr>
          <w:rStyle w:val="FootnoteReference"/>
          <w:rFonts w:ascii="Arial" w:hAnsi="Arial" w:cs="Arial"/>
          <w:noProof/>
          <w:lang w:val="en-GB"/>
        </w:rPr>
        <w:footnoteReference w:id="263"/>
      </w:r>
      <w:r>
        <w:rPr>
          <w:rFonts w:ascii="Arial" w:hAnsi="Arial" w:cs="Arial"/>
          <w:noProof/>
          <w:lang w:val="en-GB"/>
        </w:rPr>
        <w:t>;</w:t>
      </w:r>
    </w:p>
    <w:p w:rsidR="00E26342" w:rsidRDefault="00040788">
      <w:pPr>
        <w:pStyle w:val="Lijstje2"/>
        <w:numPr>
          <w:ilvl w:val="2"/>
          <w:numId w:val="2"/>
        </w:numPr>
        <w:ind w:left="2410" w:hanging="425"/>
        <w:rPr>
          <w:rFonts w:ascii="Arial" w:hAnsi="Arial" w:cs="Arial"/>
          <w:noProof/>
          <w:lang w:val="en-GB"/>
        </w:rPr>
      </w:pPr>
      <w:r>
        <w:rPr>
          <w:rFonts w:ascii="Arial" w:hAnsi="Arial" w:cs="Arial"/>
          <w:noProof/>
          <w:lang w:val="en-GB"/>
        </w:rPr>
        <w:t>Markets in Financial Instruments Directive (MiFID II)</w:t>
      </w:r>
      <w:r>
        <w:rPr>
          <w:rStyle w:val="FootnoteReference"/>
          <w:rFonts w:ascii="Arial" w:hAnsi="Arial" w:cs="Arial"/>
          <w:noProof/>
          <w:lang w:val="en-GB"/>
        </w:rPr>
        <w:footnoteReference w:id="264"/>
      </w:r>
      <w:r>
        <w:rPr>
          <w:rFonts w:ascii="Arial" w:hAnsi="Arial" w:cs="Arial"/>
          <w:noProof/>
          <w:lang w:val="en-GB"/>
        </w:rPr>
        <w:t>;</w:t>
      </w:r>
    </w:p>
    <w:p w:rsidR="00E26342" w:rsidRDefault="00040788">
      <w:pPr>
        <w:pStyle w:val="Lijstje"/>
        <w:numPr>
          <w:ilvl w:val="0"/>
          <w:numId w:val="4"/>
        </w:numPr>
        <w:spacing w:before="240" w:after="240"/>
        <w:ind w:left="1276" w:hanging="425"/>
        <w:rPr>
          <w:noProof/>
        </w:rPr>
      </w:pPr>
      <w:r>
        <w:rPr>
          <w:noProof/>
        </w:rPr>
        <w:t>The Commission did not refer any cases to the Court under Article 258 TFEU.</w:t>
      </w:r>
    </w:p>
    <w:p w:rsidR="00E26342" w:rsidRDefault="00040788">
      <w:pPr>
        <w:pStyle w:val="Lijstje"/>
        <w:numPr>
          <w:ilvl w:val="0"/>
          <w:numId w:val="4"/>
        </w:numPr>
        <w:spacing w:before="240" w:after="240"/>
        <w:ind w:left="1276" w:hanging="425"/>
        <w:rPr>
          <w:noProof/>
        </w:rPr>
      </w:pPr>
      <w:r>
        <w:rPr>
          <w:noProof/>
        </w:rPr>
        <w:t>The Commission did not refer any cases to the Court under Article 260(2) TFEU.</w:t>
      </w:r>
    </w:p>
    <w:p w:rsidR="00E26342" w:rsidRDefault="00040788">
      <w:pPr>
        <w:pStyle w:val="kop2"/>
        <w:numPr>
          <w:ilvl w:val="0"/>
          <w:numId w:val="44"/>
        </w:numPr>
        <w:spacing w:before="360" w:after="240"/>
        <w:ind w:left="709" w:hanging="425"/>
        <w:rPr>
          <w:noProof/>
        </w:rPr>
      </w:pPr>
      <w:r>
        <w:rPr>
          <w:noProof/>
        </w:rPr>
        <w:t>TRANSPOSITION OF DIRECTIVES</w:t>
      </w:r>
    </w:p>
    <w:p w:rsidR="00E26342" w:rsidRDefault="00040788">
      <w:pPr>
        <w:pStyle w:val="AnnualReport2"/>
        <w:numPr>
          <w:ilvl w:val="0"/>
          <w:numId w:val="199"/>
        </w:numPr>
        <w:ind w:left="709" w:hanging="425"/>
        <w:rPr>
          <w:noProof/>
        </w:rPr>
      </w:pPr>
      <w:r>
        <w:rPr>
          <w:noProof/>
        </w:rPr>
        <w:t xml:space="preserve">Late </w:t>
      </w:r>
      <w:r>
        <w:rPr>
          <w:noProof/>
        </w:rPr>
        <w:t>transposition infringement cases against Slovakia open on 31 December (2013-2017)</w:t>
      </w:r>
    </w:p>
    <w:p w:rsidR="00E26342" w:rsidRDefault="00040788">
      <w:pPr>
        <w:ind w:left="426" w:firstLine="283"/>
        <w:rPr>
          <w:noProof/>
        </w:rPr>
      </w:pPr>
      <w:r>
        <w:rPr>
          <w:noProof/>
          <w:lang w:eastAsia="en-GB"/>
        </w:rPr>
        <w:drawing>
          <wp:inline distT="0" distB="0" distL="0" distR="0" wp14:anchorId="7F315A30" wp14:editId="235DECDC">
            <wp:extent cx="4619625" cy="2186305"/>
            <wp:effectExtent l="0" t="0" r="0" b="0"/>
            <wp:docPr id="274"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p w:rsidR="00E26342" w:rsidRDefault="00040788">
      <w:pPr>
        <w:spacing w:after="0"/>
        <w:jc w:val="left"/>
        <w:rPr>
          <w:rFonts w:ascii="Arial" w:hAnsi="Arial"/>
          <w:noProof/>
          <w:color w:val="002060"/>
          <w:sz w:val="22"/>
          <w:szCs w:val="22"/>
        </w:rPr>
      </w:pPr>
      <w:r>
        <w:rPr>
          <w:noProof/>
        </w:rPr>
        <w:br w:type="page"/>
      </w:r>
    </w:p>
    <w:p w:rsidR="00E26342" w:rsidRDefault="00040788">
      <w:pPr>
        <w:pStyle w:val="AnnualReport2"/>
        <w:numPr>
          <w:ilvl w:val="0"/>
          <w:numId w:val="199"/>
        </w:numPr>
        <w:ind w:left="709" w:hanging="425"/>
        <w:rPr>
          <w:noProof/>
        </w:rPr>
      </w:pPr>
      <w:r>
        <w:rPr>
          <w:noProof/>
        </w:rPr>
        <w:t>New late transposition infringement cases against Slovakia (2013-2017)</w:t>
      </w:r>
    </w:p>
    <w:p w:rsidR="00E26342" w:rsidRDefault="00040788">
      <w:pPr>
        <w:spacing w:after="120"/>
        <w:ind w:firstLine="709"/>
        <w:rPr>
          <w:rFonts w:ascii="Arial" w:hAnsi="Arial" w:cs="Arial"/>
          <w:noProof/>
          <w:sz w:val="20"/>
        </w:rPr>
      </w:pPr>
      <w:r>
        <w:rPr>
          <w:rFonts w:ascii="Arial" w:hAnsi="Arial" w:cs="Arial"/>
          <w:noProof/>
          <w:sz w:val="20"/>
          <w:lang w:eastAsia="en-GB"/>
        </w:rPr>
        <w:drawing>
          <wp:inline distT="0" distB="0" distL="0" distR="0" wp14:anchorId="65546C57" wp14:editId="72CD3D30">
            <wp:extent cx="4619625" cy="2178685"/>
            <wp:effectExtent l="0" t="0" r="0" b="0"/>
            <wp:docPr id="275"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p w:rsidR="00E26342" w:rsidRDefault="00040788">
      <w:pPr>
        <w:pStyle w:val="AnnualReport2"/>
        <w:numPr>
          <w:ilvl w:val="0"/>
          <w:numId w:val="199"/>
        </w:numPr>
        <w:ind w:left="709" w:hanging="425"/>
        <w:rPr>
          <w:noProof/>
        </w:rPr>
      </w:pPr>
      <w:r>
        <w:rPr>
          <w:noProof/>
        </w:rPr>
        <w:t>New late transposition infringement cases opened in 2017: main policy areas</w:t>
      </w:r>
    </w:p>
    <w:p w:rsidR="00E26342" w:rsidRDefault="00040788">
      <w:pPr>
        <w:spacing w:after="120"/>
        <w:ind w:firstLine="709"/>
        <w:rPr>
          <w:rFonts w:ascii="Arial" w:hAnsi="Arial" w:cs="Arial"/>
          <w:noProof/>
          <w:sz w:val="20"/>
        </w:rPr>
      </w:pPr>
      <w:r>
        <w:rPr>
          <w:rFonts w:ascii="Arial" w:hAnsi="Arial" w:cs="Arial"/>
          <w:noProof/>
          <w:sz w:val="20"/>
          <w:lang w:eastAsia="en-GB"/>
        </w:rPr>
        <w:drawing>
          <wp:inline distT="0" distB="0" distL="0" distR="0" wp14:anchorId="46B156BE" wp14:editId="1C599E0D">
            <wp:extent cx="4580255" cy="2250440"/>
            <wp:effectExtent l="0" t="0" r="10795" b="16510"/>
            <wp:docPr id="276" name="Object 27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rsidR="00E26342" w:rsidRDefault="00040788">
      <w:pPr>
        <w:pStyle w:val="AnnualReport2"/>
        <w:numPr>
          <w:ilvl w:val="0"/>
          <w:numId w:val="199"/>
        </w:numPr>
        <w:ind w:left="709" w:hanging="425"/>
        <w:rPr>
          <w:noProof/>
        </w:rPr>
      </w:pPr>
      <w:r>
        <w:rPr>
          <w:noProof/>
        </w:rPr>
        <w:t>Referrals to the Co</w:t>
      </w:r>
      <w:r>
        <w:rPr>
          <w:noProof/>
        </w:rPr>
        <w:t>urt</w:t>
      </w:r>
    </w:p>
    <w:p w:rsidR="00E26342" w:rsidRDefault="00040788">
      <w:pPr>
        <w:spacing w:after="120"/>
        <w:ind w:left="709"/>
        <w:rPr>
          <w:rFonts w:ascii="Arial" w:eastAsia="Calibri" w:hAnsi="Arial" w:cs="Arial"/>
          <w:noProof/>
          <w:kern w:val="20"/>
          <w:sz w:val="20"/>
        </w:rPr>
      </w:pPr>
      <w:r>
        <w:rPr>
          <w:rFonts w:ascii="Arial" w:eastAsia="Calibri" w:hAnsi="Arial" w:cs="Arial"/>
          <w:noProof/>
          <w:kern w:val="20"/>
          <w:sz w:val="20"/>
        </w:rPr>
        <w:t>The Commission referred one case under under Articles 258 and 260(3) TFEU. It concerned:</w:t>
      </w:r>
    </w:p>
    <w:p w:rsidR="00E26342" w:rsidRDefault="00040788">
      <w:pPr>
        <w:pStyle w:val="ListParagraph"/>
        <w:numPr>
          <w:ilvl w:val="0"/>
          <w:numId w:val="127"/>
        </w:numPr>
        <w:spacing w:after="120"/>
        <w:ind w:left="1276" w:hanging="425"/>
        <w:rPr>
          <w:rFonts w:ascii="Arial" w:eastAsia="Calibri" w:hAnsi="Arial" w:cs="Arial"/>
          <w:noProof/>
          <w:kern w:val="20"/>
        </w:rPr>
      </w:pPr>
      <w:r>
        <w:rPr>
          <w:rFonts w:ascii="Arial" w:eastAsia="Calibri" w:hAnsi="Arial" w:cs="Arial"/>
          <w:noProof/>
          <w:kern w:val="20"/>
          <w:sz w:val="20"/>
        </w:rPr>
        <w:t>non-communication of measures transposing the Broadband Cost Reduction Directive</w:t>
      </w:r>
      <w:r>
        <w:rPr>
          <w:rStyle w:val="FootnoteReference"/>
          <w:rFonts w:ascii="Arial" w:eastAsia="Calibri" w:hAnsi="Arial" w:cs="Arial"/>
          <w:i/>
          <w:noProof/>
          <w:kern w:val="20"/>
        </w:rPr>
        <w:footnoteReference w:id="265"/>
      </w:r>
      <w:r>
        <w:rPr>
          <w:rFonts w:ascii="Arial" w:eastAsia="Calibri" w:hAnsi="Arial" w:cs="Arial"/>
          <w:noProof/>
          <w:kern w:val="20"/>
          <w:sz w:val="20"/>
        </w:rPr>
        <w:t>.</w:t>
      </w:r>
    </w:p>
    <w:p w:rsidR="00E26342" w:rsidRDefault="00040788">
      <w:pPr>
        <w:pStyle w:val="kop2"/>
        <w:numPr>
          <w:ilvl w:val="0"/>
          <w:numId w:val="44"/>
        </w:numPr>
        <w:spacing w:before="360" w:after="240"/>
        <w:ind w:left="709" w:hanging="425"/>
        <w:rPr>
          <w:noProof/>
        </w:rPr>
      </w:pPr>
      <w:r>
        <w:rPr>
          <w:noProof/>
        </w:rPr>
        <w:t>EARLY RESOLUTION OF INFRINGEMENT CASES</w:t>
      </w:r>
    </w:p>
    <w:p w:rsidR="00E26342" w:rsidRDefault="00040788">
      <w:pPr>
        <w:pStyle w:val="AnnualReport2"/>
        <w:ind w:left="709" w:firstLine="0"/>
        <w:rPr>
          <w:noProof/>
        </w:rPr>
      </w:pPr>
      <w:r>
        <w:rPr>
          <w:noProof/>
        </w:rPr>
        <w:t xml:space="preserve">Major cases closed without a Court </w:t>
      </w:r>
      <w:r>
        <w:rPr>
          <w:noProof/>
        </w:rPr>
        <w:t>judgment in 2017</w:t>
      </w:r>
    </w:p>
    <w:p w:rsidR="00E26342" w:rsidRDefault="00040788">
      <w:pPr>
        <w:spacing w:before="120" w:after="120"/>
        <w:ind w:left="709"/>
        <w:rPr>
          <w:rFonts w:ascii="Arial" w:hAnsi="Arial" w:cs="Arial"/>
          <w:noProof/>
          <w:sz w:val="20"/>
        </w:rPr>
      </w:pPr>
      <w:r>
        <w:rPr>
          <w:rFonts w:ascii="Arial" w:hAnsi="Arial" w:cs="Arial"/>
          <w:noProof/>
          <w:sz w:val="20"/>
        </w:rPr>
        <w:t>These concerned:</w:t>
      </w:r>
    </w:p>
    <w:p w:rsidR="00E26342" w:rsidRDefault="00040788">
      <w:pPr>
        <w:pStyle w:val="Lijstje2"/>
        <w:spacing w:after="200"/>
        <w:ind w:left="1276" w:hanging="425"/>
        <w:rPr>
          <w:rFonts w:ascii="Arial" w:hAnsi="Arial" w:cs="Arial"/>
          <w:noProof/>
          <w:lang w:val="en-GB"/>
        </w:rPr>
      </w:pPr>
      <w:r>
        <w:rPr>
          <w:rFonts w:ascii="Arial" w:hAnsi="Arial" w:cs="Arial"/>
          <w:bCs/>
          <w:noProof/>
          <w:lang w:val="en-GB"/>
        </w:rPr>
        <w:t>non-communication of national measures transposing the:</w:t>
      </w:r>
    </w:p>
    <w:p w:rsidR="00E26342" w:rsidRDefault="00040788">
      <w:pPr>
        <w:pStyle w:val="Lijstje2"/>
        <w:numPr>
          <w:ilvl w:val="1"/>
          <w:numId w:val="2"/>
        </w:numPr>
        <w:spacing w:after="200"/>
        <w:ind w:left="1843" w:hanging="425"/>
        <w:rPr>
          <w:rFonts w:ascii="Arial" w:hAnsi="Arial" w:cs="Arial"/>
          <w:noProof/>
          <w:lang w:val="en-GB"/>
        </w:rPr>
      </w:pPr>
      <w:r>
        <w:rPr>
          <w:rFonts w:ascii="Arial" w:hAnsi="Arial" w:cs="Arial"/>
          <w:bCs/>
          <w:noProof/>
          <w:lang w:val="en-GB"/>
        </w:rPr>
        <w:t>Intra-Corporate Transfer Directive</w:t>
      </w:r>
      <w:r>
        <w:rPr>
          <w:rStyle w:val="FootnoteReference"/>
          <w:rFonts w:ascii="Arial" w:hAnsi="Arial" w:cs="Arial"/>
          <w:bCs/>
          <w:noProof/>
          <w:lang w:val="en-GB"/>
        </w:rPr>
        <w:footnoteReference w:id="266"/>
      </w:r>
      <w:r>
        <w:rPr>
          <w:rFonts w:ascii="Arial" w:hAnsi="Arial" w:cs="Arial"/>
          <w:bCs/>
          <w:noProof/>
          <w:lang w:val="en-GB"/>
        </w:rPr>
        <w:t>;</w:t>
      </w:r>
    </w:p>
    <w:p w:rsidR="00E26342" w:rsidRDefault="00040788">
      <w:pPr>
        <w:pStyle w:val="Lijstje2"/>
        <w:numPr>
          <w:ilvl w:val="1"/>
          <w:numId w:val="2"/>
        </w:numPr>
        <w:spacing w:after="200"/>
        <w:ind w:left="1843" w:hanging="425"/>
        <w:rPr>
          <w:rFonts w:ascii="Arial" w:hAnsi="Arial" w:cs="Arial"/>
          <w:noProof/>
          <w:lang w:val="en-GB"/>
        </w:rPr>
      </w:pPr>
      <w:r>
        <w:rPr>
          <w:rFonts w:ascii="Arial" w:hAnsi="Arial" w:cs="Arial"/>
          <w:bCs/>
          <w:noProof/>
          <w:lang w:val="en-GB"/>
        </w:rPr>
        <w:t>Solvency II Directive</w:t>
      </w:r>
      <w:r>
        <w:rPr>
          <w:rStyle w:val="FootnoteReference"/>
          <w:noProof/>
        </w:rPr>
        <w:footnoteReference w:id="267"/>
      </w:r>
      <w:r>
        <w:rPr>
          <w:rFonts w:ascii="Arial" w:hAnsi="Arial" w:cs="Arial"/>
          <w:bCs/>
          <w:noProof/>
          <w:lang w:val="en-GB"/>
        </w:rPr>
        <w:t>;</w:t>
      </w:r>
    </w:p>
    <w:p w:rsidR="00E26342" w:rsidRDefault="00040788">
      <w:pPr>
        <w:pStyle w:val="Lijstje2"/>
        <w:numPr>
          <w:ilvl w:val="1"/>
          <w:numId w:val="2"/>
        </w:numPr>
        <w:spacing w:after="200"/>
        <w:ind w:left="1843" w:hanging="425"/>
        <w:rPr>
          <w:rFonts w:ascii="Arial" w:hAnsi="Arial" w:cs="Arial"/>
          <w:noProof/>
          <w:lang w:val="en-GB"/>
        </w:rPr>
      </w:pPr>
      <w:r>
        <w:rPr>
          <w:rFonts w:ascii="Arial" w:hAnsi="Arial" w:cs="Arial"/>
          <w:noProof/>
          <w:lang w:val="en-GB"/>
        </w:rPr>
        <w:t xml:space="preserve">Omnibus II Directive in respect of the powers of the European Insurance and Occupational Pensions </w:t>
      </w:r>
      <w:r>
        <w:rPr>
          <w:rFonts w:ascii="Arial" w:hAnsi="Arial" w:cs="Arial"/>
          <w:noProof/>
          <w:lang w:val="en-GB"/>
        </w:rPr>
        <w:t>Authority and the European Securities and Markets Authority</w:t>
      </w:r>
      <w:r>
        <w:rPr>
          <w:rStyle w:val="FootnoteReference"/>
          <w:noProof/>
        </w:rPr>
        <w:footnoteReference w:id="268"/>
      </w:r>
      <w:r>
        <w:rPr>
          <w:rFonts w:ascii="Arial" w:hAnsi="Arial" w:cs="Arial"/>
          <w:noProof/>
          <w:lang w:val="en-GB"/>
        </w:rPr>
        <w:t>;</w:t>
      </w:r>
    </w:p>
    <w:p w:rsidR="00E26342" w:rsidRDefault="00040788">
      <w:pPr>
        <w:pStyle w:val="Lijstje2"/>
        <w:spacing w:after="200"/>
        <w:ind w:left="1276" w:hanging="425"/>
        <w:rPr>
          <w:rFonts w:ascii="Arial" w:hAnsi="Arial" w:cs="Arial"/>
          <w:noProof/>
          <w:lang w:val="en-GB"/>
        </w:rPr>
      </w:pPr>
      <w:r>
        <w:rPr>
          <w:rFonts w:ascii="Arial" w:hAnsi="Arial" w:cs="Arial"/>
          <w:noProof/>
          <w:lang w:val="en-GB"/>
        </w:rPr>
        <w:t>incorrect transposition of the Environmental Impact Assessment Directive</w:t>
      </w:r>
      <w:r>
        <w:rPr>
          <w:rStyle w:val="FootnoteReference"/>
          <w:noProof/>
          <w:lang w:val="en-GB"/>
        </w:rPr>
        <w:footnoteReference w:id="269"/>
      </w:r>
      <w:r>
        <w:rPr>
          <w:rFonts w:ascii="Arial" w:hAnsi="Arial" w:cs="Arial"/>
          <w:noProof/>
          <w:lang w:val="en-GB"/>
        </w:rPr>
        <w:t>.</w:t>
      </w:r>
    </w:p>
    <w:p w:rsidR="00E26342" w:rsidRDefault="00040788">
      <w:pPr>
        <w:pStyle w:val="kop2"/>
        <w:numPr>
          <w:ilvl w:val="0"/>
          <w:numId w:val="44"/>
        </w:numPr>
        <w:spacing w:before="360" w:after="240"/>
        <w:ind w:left="709" w:hanging="425"/>
        <w:rPr>
          <w:noProof/>
        </w:rPr>
      </w:pPr>
      <w:r>
        <w:rPr>
          <w:noProof/>
        </w:rPr>
        <w:t>IMPORTANT JUDGMENTS</w:t>
      </w:r>
    </w:p>
    <w:p w:rsidR="00E26342" w:rsidRDefault="00040788">
      <w:pPr>
        <w:pStyle w:val="AnnualReport2"/>
        <w:numPr>
          <w:ilvl w:val="0"/>
          <w:numId w:val="137"/>
        </w:numPr>
        <w:ind w:left="709" w:hanging="425"/>
        <w:rPr>
          <w:noProof/>
        </w:rPr>
      </w:pPr>
      <w:r>
        <w:rPr>
          <w:noProof/>
        </w:rPr>
        <w:t>Court rulings</w:t>
      </w:r>
      <w:r>
        <w:rPr>
          <w:rStyle w:val="FootnoteReference"/>
          <w:noProof/>
        </w:rPr>
        <w:footnoteReference w:id="270"/>
      </w:r>
    </w:p>
    <w:p w:rsidR="00E26342" w:rsidRDefault="00040788">
      <w:pPr>
        <w:pStyle w:val="Body"/>
        <w:rPr>
          <w:noProof/>
          <w:lang w:val="en-GB"/>
        </w:rPr>
      </w:pPr>
      <w:r>
        <w:rPr>
          <w:noProof/>
          <w:lang w:val="en-GB"/>
        </w:rPr>
        <w:t>The Court gave the following rulings.</w:t>
      </w:r>
    </w:p>
    <w:p w:rsidR="00E26342" w:rsidRDefault="00040788">
      <w:pPr>
        <w:pStyle w:val="Body"/>
        <w:numPr>
          <w:ilvl w:val="0"/>
          <w:numId w:val="122"/>
        </w:numPr>
        <w:ind w:left="1276" w:hanging="425"/>
        <w:rPr>
          <w:noProof/>
          <w:lang w:val="en-GB"/>
        </w:rPr>
      </w:pPr>
      <w:r>
        <w:rPr>
          <w:bCs/>
          <w:noProof/>
          <w:lang w:val="en-GB"/>
        </w:rPr>
        <w:t xml:space="preserve">It upheld the validity of the provisional </w:t>
      </w:r>
      <w:r>
        <w:rPr>
          <w:bCs/>
          <w:noProof/>
          <w:lang w:val="en-GB"/>
        </w:rPr>
        <w:t>mechanism for the mandatory relocation of asylum seekers set up by the 2015 Council Decisions on relocation of migrants from Greece and Italy</w:t>
      </w:r>
      <w:r>
        <w:rPr>
          <w:rStyle w:val="FootnoteReference"/>
          <w:noProof/>
          <w:lang w:val="en-GB"/>
        </w:rPr>
        <w:footnoteReference w:id="271"/>
      </w:r>
      <w:r>
        <w:rPr>
          <w:bCs/>
          <w:noProof/>
          <w:lang w:val="en-GB"/>
        </w:rPr>
        <w:t xml:space="preserve">. The Court dismissed the actions for annulment brought by </w:t>
      </w:r>
      <w:r>
        <w:rPr>
          <w:noProof/>
          <w:lang w:val="en-GB"/>
        </w:rPr>
        <w:t>Hungary and Slovakia</w:t>
      </w:r>
      <w:r>
        <w:rPr>
          <w:rStyle w:val="FootnoteReference"/>
          <w:noProof/>
          <w:lang w:val="en-GB"/>
        </w:rPr>
        <w:footnoteReference w:id="272"/>
      </w:r>
      <w:r>
        <w:rPr>
          <w:i/>
          <w:noProof/>
          <w:lang w:val="en-GB"/>
        </w:rPr>
        <w:t>.</w:t>
      </w:r>
    </w:p>
    <w:p w:rsidR="00E26342" w:rsidRDefault="00040788">
      <w:pPr>
        <w:pStyle w:val="Body"/>
        <w:numPr>
          <w:ilvl w:val="0"/>
          <w:numId w:val="122"/>
        </w:numPr>
        <w:ind w:left="1276" w:hanging="425"/>
        <w:rPr>
          <w:noProof/>
          <w:lang w:val="en-GB"/>
        </w:rPr>
      </w:pPr>
      <w:r>
        <w:rPr>
          <w:noProof/>
          <w:lang w:val="en-GB"/>
        </w:rPr>
        <w:t xml:space="preserve">No direct legal obligations are </w:t>
      </w:r>
      <w:r>
        <w:rPr>
          <w:noProof/>
          <w:lang w:val="en-GB"/>
        </w:rPr>
        <w:t>created by the letters sent by the Commission to Member States inviting them to make available amounts for the loss of traditional own resources. As under the own resources legislation the Commission does not have competence to adopt binding acts, these le</w:t>
      </w:r>
      <w:r>
        <w:rPr>
          <w:noProof/>
          <w:lang w:val="en-GB"/>
        </w:rPr>
        <w:t>tters intend to start an informal discussion with the Member States before a possible formal infringement procedure. As such, these letters cannot be appealed by the Member States before the Court</w:t>
      </w:r>
      <w:r>
        <w:rPr>
          <w:rStyle w:val="FootnoteReference"/>
          <w:noProof/>
          <w:lang w:val="en-GB"/>
        </w:rPr>
        <w:footnoteReference w:id="273"/>
      </w:r>
      <w:r>
        <w:rPr>
          <w:noProof/>
          <w:lang w:val="en-GB"/>
        </w:rPr>
        <w:t>.</w:t>
      </w:r>
    </w:p>
    <w:p w:rsidR="00E26342" w:rsidRDefault="00040788">
      <w:pPr>
        <w:pStyle w:val="AnnualReport2"/>
        <w:numPr>
          <w:ilvl w:val="0"/>
          <w:numId w:val="137"/>
        </w:numPr>
        <w:ind w:left="709" w:hanging="425"/>
        <w:rPr>
          <w:noProof/>
        </w:rPr>
      </w:pPr>
      <w:r>
        <w:rPr>
          <w:noProof/>
        </w:rPr>
        <w:t>Preliminary rulings</w:t>
      </w:r>
    </w:p>
    <w:p w:rsidR="00E26342" w:rsidRDefault="00040788">
      <w:pPr>
        <w:pStyle w:val="Body"/>
        <w:ind w:left="709" w:firstLine="0"/>
        <w:rPr>
          <w:noProof/>
          <w:lang w:val="en-GB"/>
        </w:rPr>
      </w:pPr>
      <w:r>
        <w:rPr>
          <w:noProof/>
          <w:lang w:val="en-GB"/>
        </w:rPr>
        <w:t>The Court addressed the following pre</w:t>
      </w:r>
      <w:r>
        <w:rPr>
          <w:noProof/>
          <w:lang w:val="en-GB"/>
        </w:rPr>
        <w:t xml:space="preserve">liminary ruling to the Slovak judiciary. </w:t>
      </w:r>
    </w:p>
    <w:p w:rsidR="00E26342" w:rsidRDefault="00040788">
      <w:pPr>
        <w:pStyle w:val="Lijstje2"/>
        <w:ind w:left="1276" w:hanging="425"/>
        <w:rPr>
          <w:rFonts w:ascii="Arial" w:hAnsi="Arial"/>
          <w:i/>
          <w:noProof/>
          <w:lang w:val="en-GB"/>
        </w:rPr>
      </w:pPr>
      <w:r>
        <w:rPr>
          <w:rFonts w:ascii="Arial" w:hAnsi="Arial" w:cs="Arial"/>
          <w:noProof/>
          <w:lang w:val="en-GB"/>
        </w:rPr>
        <w:t>Under the EU social security coordination rules</w:t>
      </w:r>
      <w:r>
        <w:rPr>
          <w:rStyle w:val="FootnoteReference"/>
          <w:rFonts w:ascii="Arial" w:hAnsi="Arial" w:cs="Arial"/>
          <w:noProof/>
          <w:lang w:val="en-GB"/>
        </w:rPr>
        <w:footnoteReference w:id="274"/>
      </w:r>
      <w:r>
        <w:rPr>
          <w:rFonts w:ascii="Arial" w:hAnsi="Arial" w:cs="Arial"/>
          <w:noProof/>
          <w:lang w:val="en-GB"/>
        </w:rPr>
        <w:t>, a person working as self-employed in one Member State and performing only marginal activities as an employed person in another is to be covered by the social securi</w:t>
      </w:r>
      <w:r>
        <w:rPr>
          <w:rFonts w:ascii="Arial" w:hAnsi="Arial" w:cs="Arial"/>
          <w:noProof/>
          <w:lang w:val="en-GB"/>
        </w:rPr>
        <w:t>ty legislation of the first Member State. Marginal activities performed in the other Member State are not to be taken into consideration for determining the applicable legislation</w:t>
      </w:r>
      <w:r>
        <w:rPr>
          <w:rStyle w:val="FootnoteReference"/>
          <w:rFonts w:ascii="Arial" w:hAnsi="Arial" w:cs="Arial"/>
          <w:noProof/>
          <w:lang w:val="en-GB"/>
        </w:rPr>
        <w:footnoteReference w:id="275"/>
      </w:r>
      <w:r>
        <w:rPr>
          <w:rFonts w:ascii="Arial" w:hAnsi="Arial" w:cs="Arial"/>
          <w:noProof/>
          <w:lang w:val="en-GB"/>
        </w:rPr>
        <w:t>.</w:t>
      </w:r>
    </w:p>
    <w:p w:rsidR="00E26342" w:rsidRDefault="00E26342">
      <w:pPr>
        <w:spacing w:after="0"/>
        <w:jc w:val="left"/>
        <w:rPr>
          <w:noProof/>
        </w:rPr>
      </w:pPr>
    </w:p>
    <w:p w:rsidR="00E26342" w:rsidRDefault="00E26342">
      <w:pPr>
        <w:spacing w:after="0"/>
        <w:jc w:val="left"/>
        <w:rPr>
          <w:noProof/>
        </w:rPr>
        <w:sectPr w:rsidR="00E26342">
          <w:headerReference w:type="even" r:id="rId183"/>
          <w:headerReference w:type="default" r:id="rId184"/>
          <w:footerReference w:type="even" r:id="rId185"/>
          <w:footerReference w:type="default" r:id="rId186"/>
          <w:headerReference w:type="first" r:id="rId187"/>
          <w:footerReference w:type="first" r:id="rId188"/>
          <w:footnotePr>
            <w:numRestart w:val="eachSect"/>
          </w:footnotePr>
          <w:pgSz w:w="11906" w:h="16838"/>
          <w:pgMar w:top="1843" w:right="1417" w:bottom="1134" w:left="1417" w:header="567" w:footer="351" w:gutter="0"/>
          <w:cols w:space="708"/>
          <w:titlePg/>
          <w:docGrid w:linePitch="360"/>
        </w:sectPr>
      </w:pPr>
    </w:p>
    <w:p w:rsidR="00E26342" w:rsidRDefault="00040788">
      <w:pPr>
        <w:pStyle w:val="Heading1"/>
        <w:rPr>
          <w:noProof/>
        </w:rPr>
      </w:pPr>
      <w:bookmarkStart w:id="53" w:name="_Toc484622342"/>
      <w:bookmarkStart w:id="54" w:name="_Toc510015291"/>
      <w:bookmarkStart w:id="55" w:name="_Toc475974664"/>
      <w:bookmarkStart w:id="56" w:name="_Toc475980160"/>
      <w:bookmarkStart w:id="57" w:name="_Toc475981409"/>
      <w:r>
        <w:rPr>
          <w:noProof/>
        </w:rPr>
        <w:t>Finland</w:t>
      </w:r>
      <w:bookmarkEnd w:id="53"/>
      <w:bookmarkEnd w:id="54"/>
    </w:p>
    <w:p w:rsidR="00E26342" w:rsidRDefault="00040788">
      <w:pPr>
        <w:pStyle w:val="AnnualReport1"/>
        <w:numPr>
          <w:ilvl w:val="0"/>
          <w:numId w:val="36"/>
        </w:numPr>
        <w:spacing w:after="240"/>
        <w:ind w:left="709" w:hanging="425"/>
        <w:rPr>
          <w:noProof/>
        </w:rPr>
      </w:pPr>
      <w:r>
        <w:rPr>
          <w:noProof/>
        </w:rPr>
        <w:t>COMPLAINTS</w:t>
      </w:r>
    </w:p>
    <w:p w:rsidR="00E26342" w:rsidRDefault="00040788">
      <w:pPr>
        <w:pStyle w:val="AnnualReport2"/>
        <w:numPr>
          <w:ilvl w:val="0"/>
          <w:numId w:val="197"/>
        </w:numPr>
        <w:ind w:left="709" w:hanging="425"/>
        <w:rPr>
          <w:noProof/>
        </w:rPr>
      </w:pPr>
      <w:r>
        <w:rPr>
          <w:noProof/>
        </w:rPr>
        <w:t>New complaints made against Finland by members of the public</w:t>
      </w:r>
      <w:r>
        <w:rPr>
          <w:noProof/>
        </w:rPr>
        <w:t xml:space="preserve"> (2013-2017)</w:t>
      </w:r>
    </w:p>
    <w:p w:rsidR="00E26342" w:rsidRDefault="00040788">
      <w:pPr>
        <w:ind w:firstLine="709"/>
        <w:rPr>
          <w:rFonts w:ascii="Arial" w:hAnsi="Arial" w:cs="Arial"/>
          <w:noProof/>
          <w:sz w:val="20"/>
        </w:rPr>
      </w:pPr>
      <w:r>
        <w:rPr>
          <w:rFonts w:ascii="Arial" w:hAnsi="Arial" w:cs="Arial"/>
          <w:noProof/>
          <w:sz w:val="20"/>
          <w:lang w:eastAsia="en-GB"/>
        </w:rPr>
        <w:drawing>
          <wp:inline distT="0" distB="0" distL="0" distR="0" wp14:anchorId="35112932" wp14:editId="6E664026">
            <wp:extent cx="4587875" cy="2091055"/>
            <wp:effectExtent l="0" t="0" r="22225" b="23495"/>
            <wp:docPr id="277"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p w:rsidR="00E26342" w:rsidRDefault="00040788">
      <w:pPr>
        <w:pStyle w:val="AnnualReport2"/>
        <w:numPr>
          <w:ilvl w:val="0"/>
          <w:numId w:val="197"/>
        </w:numPr>
        <w:ind w:left="709" w:hanging="425"/>
        <w:rPr>
          <w:noProof/>
        </w:rPr>
      </w:pPr>
      <w:r>
        <w:rPr>
          <w:noProof/>
        </w:rPr>
        <w:t>Public complaints against Finland open at year-end</w:t>
      </w:r>
    </w:p>
    <w:tbl>
      <w:tblPr>
        <w:tblW w:w="0" w:type="auto"/>
        <w:jc w:val="center"/>
        <w:tblLook w:val="04A0" w:firstRow="1" w:lastRow="0" w:firstColumn="1" w:lastColumn="0" w:noHBand="0" w:noVBand="1"/>
      </w:tblPr>
      <w:tblGrid>
        <w:gridCol w:w="1697"/>
        <w:gridCol w:w="452"/>
        <w:gridCol w:w="5310"/>
      </w:tblGrid>
      <w:tr w:rsidR="00E26342">
        <w:trPr>
          <w:trHeight w:val="403"/>
          <w:jc w:val="center"/>
        </w:trPr>
        <w:tc>
          <w:tcPr>
            <w:tcW w:w="1697" w:type="dxa"/>
            <w:shd w:val="clear" w:color="auto" w:fill="auto"/>
            <w:vAlign w:val="center"/>
          </w:tcPr>
          <w:p w:rsidR="00E26342" w:rsidRDefault="00040788">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37</w:t>
            </w:r>
          </w:p>
        </w:tc>
        <w:tc>
          <w:tcPr>
            <w:tcW w:w="452" w:type="dxa"/>
            <w:shd w:val="clear" w:color="auto" w:fill="auto"/>
            <w:vAlign w:val="center"/>
          </w:tcPr>
          <w:p w:rsidR="00E26342" w:rsidRDefault="00040788">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E26342" w:rsidRDefault="00040788">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Complaints open at end-2016</w:t>
            </w:r>
          </w:p>
        </w:tc>
      </w:tr>
      <w:tr w:rsidR="00E26342">
        <w:trPr>
          <w:trHeight w:val="403"/>
          <w:jc w:val="center"/>
        </w:trPr>
        <w:tc>
          <w:tcPr>
            <w:tcW w:w="1697" w:type="dxa"/>
            <w:shd w:val="clear" w:color="auto" w:fill="auto"/>
            <w:vAlign w:val="center"/>
          </w:tcPr>
          <w:p w:rsidR="00E26342" w:rsidRDefault="00040788">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50</w:t>
            </w:r>
          </w:p>
        </w:tc>
        <w:tc>
          <w:tcPr>
            <w:tcW w:w="452" w:type="dxa"/>
            <w:shd w:val="clear" w:color="auto" w:fill="auto"/>
            <w:vAlign w:val="center"/>
          </w:tcPr>
          <w:p w:rsidR="00E26342" w:rsidRDefault="00040788">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E26342" w:rsidRDefault="00040788">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New complaints registered in 2017</w:t>
            </w:r>
          </w:p>
        </w:tc>
      </w:tr>
      <w:tr w:rsidR="00E26342">
        <w:trPr>
          <w:trHeight w:val="403"/>
          <w:jc w:val="center"/>
        </w:trPr>
        <w:tc>
          <w:tcPr>
            <w:tcW w:w="1697" w:type="dxa"/>
            <w:tcBorders>
              <w:bottom w:val="single" w:sz="24" w:space="0" w:color="548DD4"/>
            </w:tcBorders>
            <w:shd w:val="clear" w:color="auto" w:fill="auto"/>
            <w:vAlign w:val="center"/>
          </w:tcPr>
          <w:p w:rsidR="00E26342" w:rsidRDefault="00040788">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 xml:space="preserve"> 46</w:t>
            </w:r>
          </w:p>
        </w:tc>
        <w:tc>
          <w:tcPr>
            <w:tcW w:w="452" w:type="dxa"/>
            <w:shd w:val="clear" w:color="auto" w:fill="auto"/>
            <w:vAlign w:val="center"/>
          </w:tcPr>
          <w:p w:rsidR="00E26342" w:rsidRDefault="00040788">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E26342" w:rsidRDefault="00040788">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Complaints handled in 2017</w:t>
            </w:r>
          </w:p>
        </w:tc>
      </w:tr>
      <w:tr w:rsidR="00E26342">
        <w:trPr>
          <w:trHeight w:val="403"/>
          <w:jc w:val="center"/>
        </w:trPr>
        <w:tc>
          <w:tcPr>
            <w:tcW w:w="1697" w:type="dxa"/>
            <w:tcBorders>
              <w:top w:val="single" w:sz="24" w:space="0" w:color="548DD4"/>
            </w:tcBorders>
            <w:shd w:val="clear" w:color="auto" w:fill="auto"/>
            <w:vAlign w:val="center"/>
          </w:tcPr>
          <w:p w:rsidR="00E26342" w:rsidRDefault="00040788">
            <w:pPr>
              <w:spacing w:after="0"/>
              <w:jc w:val="right"/>
              <w:rPr>
                <w:rFonts w:ascii="Arial" w:hAnsi="Arial" w:cs="Arial"/>
                <w:noProof/>
                <w:color w:val="C00000"/>
                <w:sz w:val="22"/>
                <w:szCs w:val="28"/>
                <w:lang w:eastAsia="en-GB"/>
              </w:rPr>
            </w:pPr>
            <w:r>
              <w:rPr>
                <w:rFonts w:ascii="Arial" w:hAnsi="Arial" w:cs="Arial"/>
                <w:noProof/>
                <w:color w:val="C00000"/>
                <w:sz w:val="22"/>
                <w:szCs w:val="28"/>
                <w:lang w:eastAsia="en-GB"/>
              </w:rPr>
              <w:t>= 41</w:t>
            </w:r>
          </w:p>
        </w:tc>
        <w:tc>
          <w:tcPr>
            <w:tcW w:w="452" w:type="dxa"/>
            <w:shd w:val="clear" w:color="auto" w:fill="auto"/>
            <w:vAlign w:val="center"/>
          </w:tcPr>
          <w:p w:rsidR="00E26342" w:rsidRDefault="00040788">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E26342" w:rsidRDefault="00040788">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Complaints open at end-2017</w:t>
            </w:r>
          </w:p>
        </w:tc>
      </w:tr>
    </w:tbl>
    <w:p w:rsidR="00E26342" w:rsidRDefault="00040788">
      <w:pPr>
        <w:pStyle w:val="AnnualReport2"/>
        <w:numPr>
          <w:ilvl w:val="0"/>
          <w:numId w:val="197"/>
        </w:numPr>
        <w:ind w:left="709" w:hanging="425"/>
        <w:rPr>
          <w:noProof/>
        </w:rPr>
      </w:pPr>
      <w:r>
        <w:rPr>
          <w:noProof/>
        </w:rPr>
        <w:t>New complaints registered in 2017: main policy</w:t>
      </w:r>
      <w:r>
        <w:rPr>
          <w:noProof/>
        </w:rPr>
        <w:t xml:space="preserve"> areas</w:t>
      </w:r>
    </w:p>
    <w:p w:rsidR="00E26342" w:rsidRDefault="00040788">
      <w:pPr>
        <w:spacing w:after="120"/>
        <w:ind w:firstLine="709"/>
        <w:rPr>
          <w:rFonts w:ascii="Arial" w:hAnsi="Arial" w:cs="Arial"/>
          <w:noProof/>
          <w:sz w:val="20"/>
        </w:rPr>
      </w:pPr>
      <w:r>
        <w:rPr>
          <w:rFonts w:ascii="Arial" w:hAnsi="Arial" w:cs="Arial"/>
          <w:noProof/>
          <w:sz w:val="20"/>
          <w:lang w:eastAsia="en-GB"/>
        </w:rPr>
        <w:drawing>
          <wp:inline distT="0" distB="0" distL="0" distR="0" wp14:anchorId="63B7DB9A" wp14:editId="1F708F12">
            <wp:extent cx="4818380" cy="2234565"/>
            <wp:effectExtent l="0" t="0" r="20320" b="13335"/>
            <wp:docPr id="278" name="Grafiek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p w:rsidR="00E26342" w:rsidRDefault="00040788">
      <w:pPr>
        <w:spacing w:after="200" w:line="276" w:lineRule="auto"/>
        <w:jc w:val="left"/>
        <w:rPr>
          <w:noProof/>
        </w:rPr>
      </w:pPr>
      <w:r>
        <w:rPr>
          <w:noProof/>
        </w:rPr>
        <w:br w:type="page"/>
      </w:r>
    </w:p>
    <w:p w:rsidR="00E26342" w:rsidRDefault="00040788">
      <w:pPr>
        <w:pStyle w:val="kop2"/>
        <w:numPr>
          <w:ilvl w:val="0"/>
          <w:numId w:val="3"/>
        </w:numPr>
        <w:spacing w:before="360" w:after="240"/>
        <w:ind w:left="709" w:hanging="425"/>
        <w:rPr>
          <w:caps w:val="0"/>
          <w:noProof/>
        </w:rPr>
      </w:pPr>
      <w:r>
        <w:rPr>
          <w:noProof/>
        </w:rPr>
        <w:t>EU PILOT</w:t>
      </w:r>
    </w:p>
    <w:p w:rsidR="00E26342" w:rsidRDefault="00040788">
      <w:pPr>
        <w:pStyle w:val="AnnualReport2"/>
        <w:numPr>
          <w:ilvl w:val="0"/>
          <w:numId w:val="145"/>
        </w:numPr>
        <w:ind w:left="709" w:hanging="425"/>
        <w:rPr>
          <w:noProof/>
        </w:rPr>
      </w:pPr>
      <w:r>
        <w:rPr>
          <w:noProof/>
        </w:rPr>
        <w:t>New EU Pilot files opened against Finland (2013-2017)</w:t>
      </w:r>
    </w:p>
    <w:p w:rsidR="00E26342" w:rsidRDefault="00040788">
      <w:pPr>
        <w:tabs>
          <w:tab w:val="left" w:pos="0"/>
        </w:tabs>
        <w:ind w:firstLine="709"/>
        <w:rPr>
          <w:rFonts w:ascii="Arial" w:hAnsi="Arial" w:cs="Arial"/>
          <w:noProof/>
          <w:sz w:val="20"/>
        </w:rPr>
      </w:pPr>
      <w:r>
        <w:rPr>
          <w:rFonts w:ascii="Arial" w:hAnsi="Arial" w:cs="Arial"/>
          <w:noProof/>
          <w:sz w:val="20"/>
          <w:lang w:eastAsia="en-GB"/>
        </w:rPr>
        <w:drawing>
          <wp:inline distT="0" distB="0" distL="0" distR="0" wp14:anchorId="3C2D5D23" wp14:editId="335AD903">
            <wp:extent cx="4612005" cy="2146935"/>
            <wp:effectExtent l="0" t="0" r="0" b="0"/>
            <wp:docPr id="279"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p w:rsidR="00E26342" w:rsidRDefault="00040788">
      <w:pPr>
        <w:pStyle w:val="AnnualReport2"/>
        <w:numPr>
          <w:ilvl w:val="0"/>
          <w:numId w:val="145"/>
        </w:numPr>
        <w:ind w:left="709" w:hanging="425"/>
        <w:rPr>
          <w:noProof/>
        </w:rPr>
      </w:pPr>
      <w:r>
        <w:rPr>
          <w:noProof/>
        </w:rPr>
        <w:t>Files relating to Finland open in EU Pilot at year-end</w:t>
      </w:r>
    </w:p>
    <w:p w:rsidR="00E26342" w:rsidRDefault="00040788">
      <w:pPr>
        <w:spacing w:after="200" w:line="276" w:lineRule="auto"/>
        <w:ind w:firstLine="709"/>
        <w:jc w:val="left"/>
        <w:rPr>
          <w:rFonts w:cs="Arial"/>
          <w:noProof/>
          <w:sz w:val="20"/>
        </w:rPr>
      </w:pPr>
      <w:r>
        <w:rPr>
          <w:noProof/>
          <w:sz w:val="20"/>
          <w:lang w:eastAsia="en-GB"/>
        </w:rPr>
        <w:drawing>
          <wp:inline distT="0" distB="0" distL="0" distR="0" wp14:anchorId="3F442500" wp14:editId="344C53D5">
            <wp:extent cx="4612005" cy="2146935"/>
            <wp:effectExtent l="0" t="0" r="0" b="0"/>
            <wp:docPr id="280"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inline>
        </w:drawing>
      </w:r>
    </w:p>
    <w:p w:rsidR="00E26342" w:rsidRDefault="00040788">
      <w:pPr>
        <w:pStyle w:val="AnnualReport2"/>
        <w:numPr>
          <w:ilvl w:val="0"/>
          <w:numId w:val="145"/>
        </w:numPr>
        <w:ind w:left="709" w:hanging="425"/>
        <w:rPr>
          <w:noProof/>
        </w:rPr>
      </w:pPr>
      <w:r>
        <w:rPr>
          <w:noProof/>
        </w:rPr>
        <w:t>New EU Pilot files opened in 2017: policy areas</w:t>
      </w:r>
    </w:p>
    <w:p w:rsidR="00E26342" w:rsidRDefault="00040788">
      <w:pPr>
        <w:spacing w:after="120"/>
        <w:ind w:firstLine="709"/>
        <w:rPr>
          <w:rFonts w:ascii="Arial" w:hAnsi="Arial" w:cs="Arial"/>
          <w:noProof/>
          <w:sz w:val="20"/>
        </w:rPr>
      </w:pPr>
      <w:r>
        <w:rPr>
          <w:rFonts w:ascii="Arial" w:hAnsi="Arial" w:cs="Arial"/>
          <w:noProof/>
          <w:sz w:val="20"/>
          <w:lang w:eastAsia="en-GB"/>
        </w:rPr>
        <w:drawing>
          <wp:inline distT="0" distB="0" distL="0" distR="0" wp14:anchorId="6F38DC41" wp14:editId="7366AD8F">
            <wp:extent cx="4643755" cy="2449195"/>
            <wp:effectExtent l="0" t="0" r="0" b="0"/>
            <wp:docPr id="281" name="Grafiek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p w:rsidR="00E26342" w:rsidRDefault="00040788">
      <w:pPr>
        <w:spacing w:after="0"/>
        <w:jc w:val="left"/>
        <w:rPr>
          <w:rFonts w:ascii="Arial" w:hAnsi="Arial"/>
          <w:noProof/>
          <w:color w:val="002060"/>
          <w:sz w:val="22"/>
          <w:szCs w:val="22"/>
        </w:rPr>
      </w:pPr>
      <w:r>
        <w:rPr>
          <w:noProof/>
        </w:rPr>
        <w:br w:type="page"/>
      </w:r>
    </w:p>
    <w:p w:rsidR="00E26342" w:rsidRDefault="00040788">
      <w:pPr>
        <w:pStyle w:val="AnnualReport2"/>
        <w:numPr>
          <w:ilvl w:val="0"/>
          <w:numId w:val="145"/>
        </w:numPr>
        <w:ind w:left="709" w:hanging="425"/>
        <w:rPr>
          <w:noProof/>
        </w:rPr>
      </w:pPr>
      <w:r>
        <w:rPr>
          <w:noProof/>
        </w:rPr>
        <w:t>EU Pilot files: Finland’s resolution rate in 2013-2017</w:t>
      </w:r>
    </w:p>
    <w:p w:rsidR="00E26342" w:rsidRDefault="00040788">
      <w:pPr>
        <w:spacing w:after="120"/>
        <w:ind w:firstLine="709"/>
        <w:rPr>
          <w:rFonts w:ascii="Arial" w:hAnsi="Arial" w:cs="Arial"/>
          <w:noProof/>
          <w:sz w:val="20"/>
        </w:rPr>
      </w:pPr>
      <w:r>
        <w:rPr>
          <w:rFonts w:ascii="Arial" w:hAnsi="Arial" w:cs="Arial"/>
          <w:noProof/>
          <w:sz w:val="20"/>
          <w:lang w:eastAsia="en-GB"/>
        </w:rPr>
        <w:drawing>
          <wp:inline distT="0" distB="0" distL="0" distR="0" wp14:anchorId="451D4235" wp14:editId="0E81BD74">
            <wp:extent cx="4587240" cy="1912620"/>
            <wp:effectExtent l="0" t="0" r="22860" b="11430"/>
            <wp:docPr id="282"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p>
    <w:p w:rsidR="00E26342" w:rsidRDefault="00040788">
      <w:pPr>
        <w:pStyle w:val="kop2"/>
        <w:numPr>
          <w:ilvl w:val="0"/>
          <w:numId w:val="3"/>
        </w:numPr>
        <w:spacing w:before="360" w:after="240"/>
        <w:ind w:left="709" w:hanging="425"/>
        <w:rPr>
          <w:noProof/>
        </w:rPr>
      </w:pPr>
      <w:r>
        <w:rPr>
          <w:noProof/>
        </w:rPr>
        <w:t xml:space="preserve">INFRINGEMENT </w:t>
      </w:r>
      <w:r>
        <w:rPr>
          <w:noProof/>
        </w:rPr>
        <w:t>CASES</w:t>
      </w:r>
    </w:p>
    <w:p w:rsidR="00E26342" w:rsidRDefault="00040788">
      <w:pPr>
        <w:pStyle w:val="AnnualReport2"/>
        <w:numPr>
          <w:ilvl w:val="0"/>
          <w:numId w:val="146"/>
        </w:numPr>
        <w:ind w:left="709" w:hanging="425"/>
        <w:rPr>
          <w:noProof/>
        </w:rPr>
      </w:pPr>
      <w:r>
        <w:rPr>
          <w:noProof/>
        </w:rPr>
        <w:t>Infringement cases against Finland open on 31 December (2013-2017)</w:t>
      </w:r>
    </w:p>
    <w:p w:rsidR="00E26342" w:rsidRDefault="00040788">
      <w:pPr>
        <w:spacing w:after="120"/>
        <w:ind w:firstLine="709"/>
        <w:rPr>
          <w:rFonts w:ascii="Arial" w:hAnsi="Arial" w:cs="Arial"/>
          <w:noProof/>
          <w:sz w:val="20"/>
        </w:rPr>
      </w:pPr>
      <w:r>
        <w:rPr>
          <w:rFonts w:ascii="Arial" w:hAnsi="Arial" w:cs="Arial"/>
          <w:noProof/>
          <w:sz w:val="20"/>
          <w:lang w:eastAsia="en-GB"/>
        </w:rPr>
        <w:drawing>
          <wp:inline distT="0" distB="0" distL="0" distR="0" wp14:anchorId="224DC895" wp14:editId="1D14D3DF">
            <wp:extent cx="4587240" cy="2042160"/>
            <wp:effectExtent l="0" t="0" r="22860" b="15240"/>
            <wp:docPr id="283" name="Grafiek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p w:rsidR="00E26342" w:rsidRDefault="00040788">
      <w:pPr>
        <w:pStyle w:val="AnnualReport2"/>
        <w:numPr>
          <w:ilvl w:val="0"/>
          <w:numId w:val="146"/>
        </w:numPr>
        <w:ind w:left="709" w:hanging="425"/>
        <w:rPr>
          <w:noProof/>
        </w:rPr>
      </w:pPr>
      <w:r>
        <w:rPr>
          <w:noProof/>
        </w:rPr>
        <w:t>New infringement cases opened in 2017: main policy areas</w:t>
      </w:r>
    </w:p>
    <w:p w:rsidR="00E26342" w:rsidRDefault="00040788">
      <w:pPr>
        <w:spacing w:after="120"/>
        <w:ind w:firstLine="709"/>
        <w:rPr>
          <w:rFonts w:ascii="Arial" w:hAnsi="Arial" w:cs="Arial"/>
          <w:noProof/>
          <w:sz w:val="20"/>
        </w:rPr>
      </w:pPr>
      <w:r>
        <w:rPr>
          <w:rFonts w:ascii="Arial" w:hAnsi="Arial" w:cs="Arial"/>
          <w:noProof/>
          <w:sz w:val="20"/>
          <w:lang w:eastAsia="en-GB"/>
        </w:rPr>
        <w:drawing>
          <wp:inline distT="0" distB="0" distL="0" distR="0" wp14:anchorId="4310E063" wp14:editId="797D0FA7">
            <wp:extent cx="4579620" cy="2499360"/>
            <wp:effectExtent l="0" t="0" r="11430" b="15240"/>
            <wp:docPr id="284" name="Object 28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p>
    <w:p w:rsidR="00E26342" w:rsidRDefault="00040788">
      <w:pPr>
        <w:spacing w:after="0"/>
        <w:jc w:val="left"/>
        <w:rPr>
          <w:rFonts w:ascii="Arial" w:hAnsi="Arial" w:cs="Arial"/>
          <w:noProof/>
          <w:sz w:val="20"/>
        </w:rPr>
      </w:pPr>
      <w:r>
        <w:rPr>
          <w:rFonts w:ascii="Arial" w:hAnsi="Arial" w:cs="Arial"/>
          <w:noProof/>
          <w:sz w:val="20"/>
        </w:rPr>
        <w:br w:type="page"/>
      </w:r>
    </w:p>
    <w:p w:rsidR="00E26342" w:rsidRDefault="00040788">
      <w:pPr>
        <w:pStyle w:val="AnnualReport2"/>
        <w:numPr>
          <w:ilvl w:val="0"/>
          <w:numId w:val="146"/>
        </w:numPr>
        <w:spacing w:before="360"/>
        <w:ind w:left="709" w:hanging="425"/>
        <w:rPr>
          <w:noProof/>
        </w:rPr>
      </w:pPr>
      <w:r>
        <w:rPr>
          <w:noProof/>
        </w:rPr>
        <w:t>Key infringement cases and referrals to the Court</w:t>
      </w:r>
    </w:p>
    <w:p w:rsidR="00E26342" w:rsidRDefault="00040788">
      <w:pPr>
        <w:pStyle w:val="Lijstje"/>
        <w:numPr>
          <w:ilvl w:val="0"/>
          <w:numId w:val="37"/>
        </w:numPr>
        <w:spacing w:before="360" w:after="240"/>
        <w:ind w:left="1276" w:hanging="425"/>
        <w:rPr>
          <w:noProof/>
        </w:rPr>
      </w:pPr>
      <w:r>
        <w:rPr>
          <w:noProof/>
        </w:rPr>
        <w:t xml:space="preserve">The Commission opened 26 new infringement cases against Finland in </w:t>
      </w:r>
      <w:r>
        <w:rPr>
          <w:noProof/>
        </w:rPr>
        <w:t>2017. These, and other major ongoing infringement cases, include:</w:t>
      </w:r>
    </w:p>
    <w:p w:rsidR="00E26342" w:rsidRDefault="00040788">
      <w:pPr>
        <w:pStyle w:val="Lijstje2"/>
        <w:spacing w:after="0"/>
        <w:ind w:left="1843" w:hanging="425"/>
        <w:rPr>
          <w:rFonts w:ascii="Arial" w:hAnsi="Arial" w:cs="Arial"/>
          <w:noProof/>
          <w:lang w:val="en-GB"/>
        </w:rPr>
      </w:pPr>
      <w:r>
        <w:rPr>
          <w:rFonts w:ascii="Arial" w:hAnsi="Arial" w:cs="Arial"/>
          <w:noProof/>
          <w:lang w:val="en-GB"/>
        </w:rPr>
        <w:t>non-communication of national measures transposing the:</w:t>
      </w:r>
    </w:p>
    <w:p w:rsidR="00E26342" w:rsidRDefault="00040788">
      <w:pPr>
        <w:numPr>
          <w:ilvl w:val="2"/>
          <w:numId w:val="2"/>
        </w:numPr>
        <w:spacing w:after="200"/>
        <w:ind w:left="2410" w:hanging="425"/>
        <w:contextualSpacing/>
        <w:rPr>
          <w:rFonts w:ascii="Arial" w:hAnsi="Arial" w:cs="Arial"/>
          <w:noProof/>
          <w:sz w:val="20"/>
        </w:rPr>
      </w:pPr>
      <w:r>
        <w:rPr>
          <w:rFonts w:ascii="Arial" w:hAnsi="Arial" w:cs="Arial"/>
          <w:noProof/>
          <w:sz w:val="20"/>
        </w:rPr>
        <w:t>Markets in Financial Instruments Directive (MiFID II)</w:t>
      </w:r>
      <w:r>
        <w:rPr>
          <w:rStyle w:val="FootnoteReference"/>
          <w:rFonts w:ascii="Arial" w:hAnsi="Arial" w:cs="Arial"/>
          <w:noProof/>
          <w:sz w:val="20"/>
        </w:rPr>
        <w:footnoteReference w:id="276"/>
      </w:r>
      <w:r>
        <w:rPr>
          <w:rFonts w:ascii="Arial" w:hAnsi="Arial" w:cs="Arial"/>
          <w:noProof/>
          <w:sz w:val="20"/>
        </w:rPr>
        <w:t>;</w:t>
      </w:r>
    </w:p>
    <w:p w:rsidR="00E26342" w:rsidRDefault="00040788">
      <w:pPr>
        <w:numPr>
          <w:ilvl w:val="2"/>
          <w:numId w:val="2"/>
        </w:numPr>
        <w:spacing w:after="200"/>
        <w:ind w:left="2410" w:hanging="425"/>
        <w:contextualSpacing/>
        <w:rPr>
          <w:rFonts w:ascii="Arial" w:hAnsi="Arial" w:cs="Arial"/>
          <w:noProof/>
          <w:sz w:val="20"/>
        </w:rPr>
      </w:pPr>
      <w:r>
        <w:rPr>
          <w:rFonts w:ascii="Arial" w:hAnsi="Arial" w:cs="Arial"/>
          <w:noProof/>
          <w:sz w:val="20"/>
        </w:rPr>
        <w:t>Directive on caseins and caseinates</w:t>
      </w:r>
      <w:r>
        <w:rPr>
          <w:rStyle w:val="FootnoteReference"/>
          <w:rFonts w:ascii="Arial" w:hAnsi="Arial"/>
          <w:noProof/>
          <w:sz w:val="20"/>
        </w:rPr>
        <w:footnoteReference w:id="277"/>
      </w:r>
      <w:r>
        <w:rPr>
          <w:rFonts w:ascii="Arial" w:hAnsi="Arial" w:cs="Arial"/>
          <w:noProof/>
          <w:sz w:val="20"/>
        </w:rPr>
        <w:t>;</w:t>
      </w:r>
    </w:p>
    <w:p w:rsidR="00E26342" w:rsidRDefault="00040788">
      <w:pPr>
        <w:numPr>
          <w:ilvl w:val="2"/>
          <w:numId w:val="2"/>
        </w:numPr>
        <w:spacing w:after="200"/>
        <w:ind w:left="2410" w:hanging="425"/>
        <w:contextualSpacing/>
        <w:rPr>
          <w:rFonts w:ascii="Arial" w:hAnsi="Arial" w:cs="Arial"/>
          <w:noProof/>
          <w:sz w:val="20"/>
        </w:rPr>
      </w:pPr>
      <w:r>
        <w:rPr>
          <w:rFonts w:ascii="Arial" w:hAnsi="Arial" w:cs="Arial"/>
          <w:noProof/>
          <w:sz w:val="20"/>
        </w:rPr>
        <w:t>Maritime Spatial Planning Directive</w:t>
      </w:r>
      <w:r>
        <w:rPr>
          <w:rStyle w:val="FootnoteReference"/>
          <w:rFonts w:ascii="Arial" w:hAnsi="Arial" w:cs="Arial"/>
          <w:noProof/>
          <w:sz w:val="20"/>
        </w:rPr>
        <w:footnoteReference w:id="278"/>
      </w:r>
      <w:r>
        <w:rPr>
          <w:rFonts w:ascii="Arial" w:hAnsi="Arial" w:cs="Arial"/>
          <w:noProof/>
          <w:sz w:val="20"/>
        </w:rPr>
        <w:t>;</w:t>
      </w:r>
    </w:p>
    <w:p w:rsidR="00E26342" w:rsidRDefault="00040788">
      <w:pPr>
        <w:numPr>
          <w:ilvl w:val="2"/>
          <w:numId w:val="2"/>
        </w:numPr>
        <w:spacing w:after="200"/>
        <w:ind w:left="2410" w:hanging="425"/>
        <w:contextualSpacing/>
        <w:rPr>
          <w:rFonts w:ascii="Arial" w:hAnsi="Arial" w:cs="Arial"/>
          <w:noProof/>
          <w:sz w:val="20"/>
        </w:rPr>
      </w:pPr>
      <w:r>
        <w:rPr>
          <w:rFonts w:ascii="Arial" w:hAnsi="Arial" w:cs="Arial"/>
          <w:noProof/>
          <w:sz w:val="20"/>
        </w:rPr>
        <w:t>Directive on the organisation of working time in inland waterway transport</w:t>
      </w:r>
      <w:r>
        <w:rPr>
          <w:rStyle w:val="FootnoteReference"/>
          <w:rFonts w:ascii="Arial" w:hAnsi="Arial" w:cs="Arial"/>
          <w:noProof/>
          <w:sz w:val="20"/>
        </w:rPr>
        <w:footnoteReference w:id="279"/>
      </w:r>
      <w:r>
        <w:rPr>
          <w:rFonts w:ascii="Arial" w:hAnsi="Arial" w:cs="Arial"/>
          <w:noProof/>
          <w:sz w:val="20"/>
        </w:rPr>
        <w:t>;</w:t>
      </w:r>
    </w:p>
    <w:p w:rsidR="00E26342" w:rsidRDefault="00040788">
      <w:pPr>
        <w:numPr>
          <w:ilvl w:val="2"/>
          <w:numId w:val="2"/>
        </w:numPr>
        <w:spacing w:after="200"/>
        <w:ind w:left="2410" w:hanging="425"/>
        <w:contextualSpacing/>
        <w:rPr>
          <w:rFonts w:ascii="Arial" w:hAnsi="Arial" w:cs="Arial"/>
          <w:noProof/>
          <w:sz w:val="20"/>
        </w:rPr>
      </w:pPr>
      <w:r>
        <w:rPr>
          <w:rFonts w:ascii="Arial" w:hAnsi="Arial" w:cs="Arial"/>
          <w:noProof/>
          <w:sz w:val="20"/>
        </w:rPr>
        <w:t>Fourth Anti-Money Laundering Directive</w:t>
      </w:r>
      <w:r>
        <w:rPr>
          <w:rStyle w:val="FootnoteReference"/>
          <w:rFonts w:ascii="Arial" w:hAnsi="Arial" w:cs="Arial"/>
          <w:noProof/>
          <w:sz w:val="20"/>
        </w:rPr>
        <w:footnoteReference w:id="280"/>
      </w:r>
      <w:r>
        <w:rPr>
          <w:rFonts w:ascii="Arial" w:hAnsi="Arial" w:cs="Arial"/>
          <w:noProof/>
          <w:sz w:val="20"/>
        </w:rPr>
        <w:t>;</w:t>
      </w:r>
    </w:p>
    <w:p w:rsidR="00E26342" w:rsidRDefault="00040788">
      <w:pPr>
        <w:numPr>
          <w:ilvl w:val="2"/>
          <w:numId w:val="2"/>
        </w:numPr>
        <w:spacing w:after="200"/>
        <w:ind w:left="2410" w:hanging="425"/>
        <w:contextualSpacing/>
        <w:rPr>
          <w:rFonts w:ascii="Arial" w:hAnsi="Arial" w:cs="Arial"/>
          <w:noProof/>
          <w:sz w:val="20"/>
        </w:rPr>
      </w:pPr>
      <w:r>
        <w:rPr>
          <w:rFonts w:ascii="Arial" w:hAnsi="Arial" w:cs="Arial"/>
          <w:noProof/>
          <w:sz w:val="20"/>
        </w:rPr>
        <w:t>Directive</w:t>
      </w:r>
      <w:r>
        <w:rPr>
          <w:rStyle w:val="FootnoteReference"/>
          <w:rFonts w:ascii="Arial" w:hAnsi="Arial" w:cs="Arial"/>
          <w:noProof/>
          <w:sz w:val="20"/>
        </w:rPr>
        <w:footnoteReference w:id="281"/>
      </w:r>
      <w:r>
        <w:rPr>
          <w:rFonts w:ascii="Arial" w:hAnsi="Arial" w:cs="Arial"/>
          <w:noProof/>
          <w:sz w:val="20"/>
        </w:rPr>
        <w:t xml:space="preserve"> laying down calculation methods and reporting requirements pursuant to the Directive on fuels quality</w:t>
      </w:r>
      <w:r>
        <w:rPr>
          <w:rStyle w:val="FootnoteReference"/>
          <w:rFonts w:ascii="Arial" w:hAnsi="Arial" w:cs="Arial"/>
          <w:noProof/>
          <w:sz w:val="20"/>
        </w:rPr>
        <w:footnoteReference w:id="282"/>
      </w:r>
      <w:r>
        <w:rPr>
          <w:rFonts w:ascii="Arial" w:hAnsi="Arial" w:cs="Arial"/>
          <w:noProof/>
          <w:sz w:val="20"/>
        </w:rPr>
        <w:t>;</w:t>
      </w:r>
    </w:p>
    <w:p w:rsidR="00E26342" w:rsidRDefault="00040788">
      <w:pPr>
        <w:numPr>
          <w:ilvl w:val="2"/>
          <w:numId w:val="2"/>
        </w:numPr>
        <w:spacing w:after="200"/>
        <w:ind w:left="2410" w:hanging="425"/>
        <w:contextualSpacing/>
        <w:rPr>
          <w:rFonts w:ascii="Arial" w:hAnsi="Arial" w:cs="Arial"/>
          <w:noProof/>
          <w:sz w:val="20"/>
        </w:rPr>
      </w:pPr>
      <w:r>
        <w:rPr>
          <w:rFonts w:ascii="Arial" w:hAnsi="Arial" w:cs="Arial"/>
          <w:noProof/>
          <w:sz w:val="20"/>
        </w:rPr>
        <w:t>Intra-Corporate Transfe</w:t>
      </w:r>
      <w:r>
        <w:rPr>
          <w:rFonts w:ascii="Arial" w:hAnsi="Arial" w:cs="Arial"/>
          <w:noProof/>
          <w:sz w:val="20"/>
        </w:rPr>
        <w:t>rs Directive</w:t>
      </w:r>
      <w:r>
        <w:rPr>
          <w:rStyle w:val="FootnoteReference"/>
          <w:rFonts w:ascii="Arial" w:hAnsi="Arial" w:cs="Arial"/>
          <w:noProof/>
          <w:sz w:val="20"/>
        </w:rPr>
        <w:footnoteReference w:id="283"/>
      </w:r>
      <w:r>
        <w:rPr>
          <w:rFonts w:ascii="Arial" w:hAnsi="Arial" w:cs="Arial"/>
          <w:noProof/>
          <w:sz w:val="20"/>
        </w:rPr>
        <w:t>;</w:t>
      </w:r>
    </w:p>
    <w:p w:rsidR="00E26342" w:rsidRDefault="00040788">
      <w:pPr>
        <w:numPr>
          <w:ilvl w:val="2"/>
          <w:numId w:val="2"/>
        </w:numPr>
        <w:spacing w:after="200"/>
        <w:ind w:left="2410" w:hanging="425"/>
        <w:contextualSpacing/>
        <w:rPr>
          <w:rFonts w:ascii="Arial" w:hAnsi="Arial" w:cs="Arial"/>
          <w:noProof/>
          <w:sz w:val="20"/>
        </w:rPr>
      </w:pPr>
      <w:r>
        <w:rPr>
          <w:rFonts w:ascii="Arial" w:hAnsi="Arial" w:cs="Arial"/>
          <w:noProof/>
          <w:sz w:val="20"/>
        </w:rPr>
        <w:t>Seasonal Workers Directive</w:t>
      </w:r>
      <w:r>
        <w:rPr>
          <w:rStyle w:val="FootnoteReference"/>
          <w:rFonts w:ascii="Arial" w:hAnsi="Arial" w:cs="Arial"/>
          <w:noProof/>
          <w:sz w:val="20"/>
        </w:rPr>
        <w:footnoteReference w:id="284"/>
      </w:r>
      <w:r>
        <w:rPr>
          <w:rFonts w:ascii="Arial" w:hAnsi="Arial" w:cs="Arial"/>
          <w:noProof/>
          <w:sz w:val="20"/>
        </w:rPr>
        <w:t>.</w:t>
      </w:r>
    </w:p>
    <w:p w:rsidR="00E26342" w:rsidRDefault="00040788">
      <w:pPr>
        <w:pStyle w:val="Lijstje"/>
        <w:numPr>
          <w:ilvl w:val="0"/>
          <w:numId w:val="4"/>
        </w:numPr>
        <w:spacing w:before="240" w:after="240"/>
        <w:ind w:left="1276" w:hanging="425"/>
        <w:rPr>
          <w:noProof/>
        </w:rPr>
      </w:pPr>
      <w:r>
        <w:rPr>
          <w:noProof/>
        </w:rPr>
        <w:t>The Commission did not refer any cases to the Court under Article 258 TFEU.</w:t>
      </w:r>
    </w:p>
    <w:p w:rsidR="00E26342" w:rsidRDefault="00040788">
      <w:pPr>
        <w:pStyle w:val="Lijstje"/>
        <w:numPr>
          <w:ilvl w:val="0"/>
          <w:numId w:val="4"/>
        </w:numPr>
        <w:spacing w:before="240" w:after="240"/>
        <w:ind w:left="1276" w:hanging="425"/>
        <w:rPr>
          <w:noProof/>
        </w:rPr>
      </w:pPr>
      <w:r>
        <w:rPr>
          <w:noProof/>
        </w:rPr>
        <w:t>The Commission did not refer any cases to the Court under Article 260(2) TFEU.</w:t>
      </w:r>
    </w:p>
    <w:p w:rsidR="00E26342" w:rsidRDefault="00040788">
      <w:pPr>
        <w:pStyle w:val="kop2"/>
        <w:numPr>
          <w:ilvl w:val="0"/>
          <w:numId w:val="3"/>
        </w:numPr>
        <w:spacing w:after="240"/>
        <w:ind w:left="709" w:hanging="425"/>
        <w:rPr>
          <w:noProof/>
        </w:rPr>
      </w:pPr>
      <w:r>
        <w:rPr>
          <w:noProof/>
        </w:rPr>
        <w:t>TRANSPOSITION OF DIRECTIVES</w:t>
      </w:r>
    </w:p>
    <w:p w:rsidR="00E26342" w:rsidRDefault="00040788">
      <w:pPr>
        <w:pStyle w:val="AnnualReport2"/>
        <w:numPr>
          <w:ilvl w:val="0"/>
          <w:numId w:val="147"/>
        </w:numPr>
        <w:spacing w:before="360"/>
        <w:ind w:left="709" w:hanging="425"/>
        <w:rPr>
          <w:noProof/>
        </w:rPr>
      </w:pPr>
      <w:r>
        <w:rPr>
          <w:noProof/>
        </w:rPr>
        <w:t xml:space="preserve">Late transposition </w:t>
      </w:r>
      <w:r>
        <w:rPr>
          <w:noProof/>
        </w:rPr>
        <w:t>infringement cases against Finland open on 31 December (2013-2017)</w:t>
      </w:r>
    </w:p>
    <w:p w:rsidR="00E26342" w:rsidRDefault="00040788">
      <w:pPr>
        <w:ind w:left="426" w:firstLine="283"/>
        <w:rPr>
          <w:noProof/>
        </w:rPr>
      </w:pPr>
      <w:r>
        <w:rPr>
          <w:noProof/>
          <w:lang w:eastAsia="en-GB"/>
        </w:rPr>
        <w:drawing>
          <wp:inline distT="0" distB="0" distL="0" distR="0" wp14:anchorId="4DCE63C4" wp14:editId="01D637D7">
            <wp:extent cx="4619625" cy="2146935"/>
            <wp:effectExtent l="0" t="0" r="9525" b="24765"/>
            <wp:docPr id="285"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p>
    <w:p w:rsidR="00E26342" w:rsidRDefault="00040788">
      <w:pPr>
        <w:spacing w:after="0"/>
        <w:jc w:val="left"/>
        <w:rPr>
          <w:noProof/>
        </w:rPr>
      </w:pPr>
      <w:r>
        <w:rPr>
          <w:noProof/>
        </w:rPr>
        <w:br w:type="page"/>
      </w:r>
    </w:p>
    <w:p w:rsidR="00E26342" w:rsidRDefault="00040788">
      <w:pPr>
        <w:pStyle w:val="AnnualReport2"/>
        <w:numPr>
          <w:ilvl w:val="0"/>
          <w:numId w:val="147"/>
        </w:numPr>
        <w:spacing w:before="360"/>
        <w:ind w:left="709" w:hanging="425"/>
        <w:rPr>
          <w:noProof/>
        </w:rPr>
      </w:pPr>
      <w:r>
        <w:rPr>
          <w:noProof/>
        </w:rPr>
        <w:t>New late transposition infringement cases against Finland (2013-2017)</w:t>
      </w:r>
    </w:p>
    <w:p w:rsidR="00E26342" w:rsidRDefault="00040788">
      <w:pPr>
        <w:spacing w:after="120"/>
        <w:ind w:firstLine="709"/>
        <w:rPr>
          <w:rFonts w:ascii="Arial" w:hAnsi="Arial" w:cs="Arial"/>
          <w:noProof/>
          <w:sz w:val="20"/>
        </w:rPr>
      </w:pPr>
      <w:r>
        <w:rPr>
          <w:rFonts w:ascii="Arial" w:hAnsi="Arial" w:cs="Arial"/>
          <w:noProof/>
          <w:sz w:val="20"/>
          <w:lang w:eastAsia="en-GB"/>
        </w:rPr>
        <w:drawing>
          <wp:inline distT="0" distB="0" distL="0" distR="0" wp14:anchorId="1228DA39" wp14:editId="44486924">
            <wp:extent cx="4619625" cy="2091055"/>
            <wp:effectExtent l="0" t="0" r="0" b="0"/>
            <wp:docPr id="286"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p>
    <w:p w:rsidR="00E26342" w:rsidRDefault="00040788">
      <w:pPr>
        <w:pStyle w:val="AnnualReport2"/>
        <w:numPr>
          <w:ilvl w:val="0"/>
          <w:numId w:val="147"/>
        </w:numPr>
        <w:spacing w:before="360"/>
        <w:ind w:left="709" w:hanging="425"/>
        <w:rPr>
          <w:noProof/>
        </w:rPr>
      </w:pPr>
      <w:r>
        <w:rPr>
          <w:noProof/>
        </w:rPr>
        <w:t>New late transposition infringement cases opened in 2017: main policy areas</w:t>
      </w:r>
    </w:p>
    <w:p w:rsidR="00E26342" w:rsidRDefault="00040788">
      <w:pPr>
        <w:spacing w:after="120"/>
        <w:ind w:firstLine="709"/>
        <w:rPr>
          <w:rFonts w:ascii="Arial" w:hAnsi="Arial" w:cs="Arial"/>
          <w:noProof/>
          <w:sz w:val="20"/>
        </w:rPr>
      </w:pPr>
      <w:r>
        <w:rPr>
          <w:rFonts w:ascii="Arial" w:hAnsi="Arial" w:cs="Arial"/>
          <w:noProof/>
          <w:sz w:val="20"/>
          <w:lang w:eastAsia="en-GB"/>
        </w:rPr>
        <w:drawing>
          <wp:inline distT="0" distB="0" distL="0" distR="0" wp14:anchorId="28F66FE8" wp14:editId="112FEB5B">
            <wp:extent cx="4580255" cy="2440940"/>
            <wp:effectExtent l="0" t="0" r="10795" b="16510"/>
            <wp:docPr id="287" name="Object 28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p>
    <w:p w:rsidR="00E26342" w:rsidRDefault="00040788">
      <w:pPr>
        <w:pStyle w:val="AnnualReport2"/>
        <w:numPr>
          <w:ilvl w:val="0"/>
          <w:numId w:val="147"/>
        </w:numPr>
        <w:spacing w:before="360"/>
        <w:ind w:left="709" w:hanging="425"/>
        <w:rPr>
          <w:noProof/>
        </w:rPr>
      </w:pPr>
      <w:r>
        <w:rPr>
          <w:noProof/>
        </w:rPr>
        <w:t>Referrals to the Court</w:t>
      </w:r>
    </w:p>
    <w:p w:rsidR="00E26342" w:rsidRDefault="00040788">
      <w:pPr>
        <w:spacing w:after="120"/>
        <w:ind w:left="709"/>
        <w:rPr>
          <w:rFonts w:ascii="Arial" w:eastAsia="Calibri" w:hAnsi="Arial" w:cs="Arial"/>
          <w:noProof/>
          <w:kern w:val="20"/>
          <w:sz w:val="20"/>
        </w:rPr>
      </w:pPr>
      <w:r>
        <w:rPr>
          <w:rFonts w:ascii="Arial" w:eastAsia="Calibri" w:hAnsi="Arial" w:cs="Arial"/>
          <w:noProof/>
          <w:kern w:val="20"/>
          <w:sz w:val="20"/>
        </w:rPr>
        <w:t>The Commissi</w:t>
      </w:r>
      <w:r>
        <w:rPr>
          <w:rFonts w:ascii="Arial" w:eastAsia="Calibri" w:hAnsi="Arial" w:cs="Arial"/>
          <w:noProof/>
          <w:kern w:val="20"/>
          <w:sz w:val="20"/>
        </w:rPr>
        <w:t>on did not refer any cases to the Court under Articles 258 and 260(3) TFEU.</w:t>
      </w:r>
    </w:p>
    <w:p w:rsidR="00E26342" w:rsidRDefault="00040788">
      <w:pPr>
        <w:pStyle w:val="kop2"/>
        <w:numPr>
          <w:ilvl w:val="0"/>
          <w:numId w:val="3"/>
        </w:numPr>
        <w:spacing w:before="360" w:after="240"/>
        <w:ind w:left="709" w:hanging="425"/>
        <w:rPr>
          <w:noProof/>
        </w:rPr>
      </w:pPr>
      <w:r>
        <w:rPr>
          <w:noProof/>
        </w:rPr>
        <w:t>EARLY RESOLUTION OF INFRINGEMENT CASES</w:t>
      </w:r>
    </w:p>
    <w:p w:rsidR="00E26342" w:rsidRDefault="00040788">
      <w:pPr>
        <w:pStyle w:val="AnnualReport2"/>
        <w:spacing w:before="360"/>
        <w:ind w:left="709" w:firstLine="0"/>
        <w:rPr>
          <w:noProof/>
        </w:rPr>
      </w:pPr>
      <w:r>
        <w:rPr>
          <w:noProof/>
        </w:rPr>
        <w:t>Major cases closed without a Court judgment in 2017</w:t>
      </w:r>
    </w:p>
    <w:p w:rsidR="00E26342" w:rsidRDefault="00040788">
      <w:pPr>
        <w:spacing w:after="120"/>
        <w:ind w:firstLine="709"/>
        <w:rPr>
          <w:rFonts w:ascii="Arial" w:hAnsi="Arial" w:cs="Arial"/>
          <w:noProof/>
          <w:sz w:val="20"/>
        </w:rPr>
      </w:pPr>
      <w:r>
        <w:rPr>
          <w:rFonts w:ascii="Arial" w:hAnsi="Arial" w:cs="Arial"/>
          <w:noProof/>
          <w:sz w:val="20"/>
        </w:rPr>
        <w:t>These concerned:</w:t>
      </w:r>
    </w:p>
    <w:p w:rsidR="00E26342" w:rsidRDefault="00040788">
      <w:pPr>
        <w:pStyle w:val="Lijstje2"/>
        <w:spacing w:after="0"/>
        <w:ind w:left="1276" w:hanging="425"/>
        <w:rPr>
          <w:rFonts w:ascii="Arial" w:hAnsi="Arial" w:cs="Arial"/>
          <w:noProof/>
          <w:lang w:val="en-GB"/>
        </w:rPr>
      </w:pPr>
      <w:r>
        <w:rPr>
          <w:rFonts w:ascii="Arial" w:hAnsi="Arial" w:cs="Arial"/>
          <w:noProof/>
          <w:lang w:val="en-GB"/>
        </w:rPr>
        <w:t>non-communication of national measures transposing the:</w:t>
      </w:r>
    </w:p>
    <w:p w:rsidR="00E26342" w:rsidRDefault="00040788">
      <w:pPr>
        <w:numPr>
          <w:ilvl w:val="2"/>
          <w:numId w:val="2"/>
        </w:numPr>
        <w:spacing w:after="200"/>
        <w:ind w:left="1843" w:hanging="425"/>
        <w:contextualSpacing/>
        <w:rPr>
          <w:rFonts w:ascii="Arial" w:hAnsi="Arial" w:cs="Arial"/>
          <w:noProof/>
          <w:sz w:val="20"/>
        </w:rPr>
      </w:pPr>
      <w:r>
        <w:rPr>
          <w:rFonts w:ascii="Arial" w:hAnsi="Arial" w:cs="Arial"/>
          <w:noProof/>
          <w:sz w:val="20"/>
        </w:rPr>
        <w:t>Directive</w:t>
      </w:r>
      <w:r>
        <w:rPr>
          <w:rFonts w:ascii="Arial" w:hAnsi="Arial" w:cs="Arial"/>
          <w:noProof/>
        </w:rPr>
        <w:t xml:space="preserve"> </w:t>
      </w:r>
      <w:r>
        <w:rPr>
          <w:rFonts w:ascii="Arial" w:hAnsi="Arial" w:cs="Arial"/>
          <w:noProof/>
          <w:sz w:val="20"/>
        </w:rPr>
        <w:t xml:space="preserve">on </w:t>
      </w:r>
      <w:r>
        <w:rPr>
          <w:rFonts w:ascii="Arial" w:hAnsi="Arial" w:cs="Arial"/>
          <w:noProof/>
          <w:sz w:val="20"/>
        </w:rPr>
        <w:t>caseins and caseinates</w:t>
      </w:r>
      <w:r>
        <w:rPr>
          <w:rStyle w:val="FootnoteReference"/>
          <w:rFonts w:ascii="Arial" w:hAnsi="Arial"/>
          <w:noProof/>
          <w:sz w:val="20"/>
        </w:rPr>
        <w:footnoteReference w:id="285"/>
      </w:r>
      <w:r>
        <w:rPr>
          <w:rFonts w:ascii="Arial" w:hAnsi="Arial" w:cs="Arial"/>
          <w:noProof/>
          <w:sz w:val="20"/>
        </w:rPr>
        <w:t>;</w:t>
      </w:r>
    </w:p>
    <w:p w:rsidR="00E26342" w:rsidRDefault="00040788">
      <w:pPr>
        <w:numPr>
          <w:ilvl w:val="2"/>
          <w:numId w:val="2"/>
        </w:numPr>
        <w:spacing w:after="200"/>
        <w:ind w:left="1843" w:hanging="425"/>
        <w:contextualSpacing/>
        <w:rPr>
          <w:rFonts w:ascii="Arial" w:hAnsi="Arial" w:cs="Arial"/>
          <w:noProof/>
          <w:sz w:val="20"/>
        </w:rPr>
      </w:pPr>
      <w:r>
        <w:rPr>
          <w:rFonts w:ascii="Arial" w:hAnsi="Arial" w:cs="Arial"/>
          <w:noProof/>
          <w:sz w:val="20"/>
        </w:rPr>
        <w:t>Seveso III Directive</w:t>
      </w:r>
      <w:r>
        <w:rPr>
          <w:rStyle w:val="FootnoteReference"/>
          <w:rFonts w:ascii="Arial" w:hAnsi="Arial" w:cs="Arial"/>
          <w:noProof/>
          <w:sz w:val="20"/>
        </w:rPr>
        <w:footnoteReference w:id="286"/>
      </w:r>
      <w:r>
        <w:rPr>
          <w:rFonts w:ascii="Arial" w:hAnsi="Arial" w:cs="Arial"/>
          <w:noProof/>
          <w:sz w:val="20"/>
        </w:rPr>
        <w:t>;</w:t>
      </w:r>
    </w:p>
    <w:p w:rsidR="00E26342" w:rsidRDefault="00040788">
      <w:pPr>
        <w:numPr>
          <w:ilvl w:val="2"/>
          <w:numId w:val="2"/>
        </w:numPr>
        <w:spacing w:after="200"/>
        <w:ind w:left="1843" w:hanging="425"/>
        <w:contextualSpacing/>
        <w:rPr>
          <w:rFonts w:ascii="Arial" w:hAnsi="Arial" w:cs="Arial"/>
          <w:noProof/>
          <w:sz w:val="20"/>
        </w:rPr>
      </w:pPr>
      <w:r>
        <w:rPr>
          <w:rFonts w:ascii="Arial" w:hAnsi="Arial" w:cs="Arial"/>
          <w:noProof/>
          <w:sz w:val="20"/>
        </w:rPr>
        <w:t>Directive on recognition of professional qualifications</w:t>
      </w:r>
      <w:r>
        <w:rPr>
          <w:rStyle w:val="FootnoteReference"/>
          <w:noProof/>
        </w:rPr>
        <w:footnoteReference w:id="287"/>
      </w:r>
      <w:r>
        <w:rPr>
          <w:rFonts w:ascii="Arial" w:hAnsi="Arial" w:cs="Arial"/>
          <w:noProof/>
          <w:sz w:val="20"/>
        </w:rPr>
        <w:t>;</w:t>
      </w:r>
    </w:p>
    <w:p w:rsidR="00E26342" w:rsidRDefault="00040788">
      <w:pPr>
        <w:numPr>
          <w:ilvl w:val="2"/>
          <w:numId w:val="2"/>
        </w:numPr>
        <w:spacing w:after="200"/>
        <w:ind w:left="1843" w:hanging="425"/>
        <w:contextualSpacing/>
        <w:rPr>
          <w:rFonts w:ascii="Arial" w:hAnsi="Arial" w:cs="Arial"/>
          <w:noProof/>
          <w:sz w:val="20"/>
        </w:rPr>
      </w:pPr>
      <w:r>
        <w:rPr>
          <w:rFonts w:ascii="Arial" w:hAnsi="Arial" w:cs="Arial"/>
          <w:noProof/>
          <w:sz w:val="20"/>
        </w:rPr>
        <w:t>‘Qualifications’ Directive</w:t>
      </w:r>
      <w:r>
        <w:rPr>
          <w:rStyle w:val="FootnoteReference"/>
          <w:rFonts w:ascii="Arial" w:hAnsi="Arial" w:cs="Arial"/>
          <w:noProof/>
          <w:sz w:val="20"/>
        </w:rPr>
        <w:footnoteReference w:id="288"/>
      </w:r>
      <w:r>
        <w:rPr>
          <w:rFonts w:ascii="Arial" w:hAnsi="Arial" w:cs="Arial"/>
          <w:noProof/>
          <w:sz w:val="20"/>
        </w:rPr>
        <w:t>;</w:t>
      </w:r>
    </w:p>
    <w:p w:rsidR="00E26342" w:rsidRDefault="00040788">
      <w:pPr>
        <w:numPr>
          <w:ilvl w:val="2"/>
          <w:numId w:val="2"/>
        </w:numPr>
        <w:spacing w:after="200"/>
        <w:ind w:left="1843" w:hanging="425"/>
        <w:contextualSpacing/>
        <w:rPr>
          <w:rFonts w:ascii="Arial" w:hAnsi="Arial" w:cs="Arial"/>
          <w:noProof/>
          <w:sz w:val="20"/>
        </w:rPr>
      </w:pPr>
      <w:r>
        <w:rPr>
          <w:rFonts w:ascii="Arial" w:hAnsi="Arial" w:cs="Arial"/>
          <w:noProof/>
          <w:sz w:val="20"/>
        </w:rPr>
        <w:t>Accounting Directive</w:t>
      </w:r>
      <w:r>
        <w:rPr>
          <w:rStyle w:val="FootnoteReference"/>
          <w:rFonts w:ascii="Arial" w:hAnsi="Arial" w:cs="Arial"/>
          <w:noProof/>
          <w:sz w:val="20"/>
        </w:rPr>
        <w:footnoteReference w:id="289"/>
      </w:r>
      <w:r>
        <w:rPr>
          <w:rFonts w:ascii="Arial" w:hAnsi="Arial" w:cs="Arial"/>
          <w:noProof/>
          <w:sz w:val="20"/>
        </w:rPr>
        <w:t>;</w:t>
      </w:r>
    </w:p>
    <w:p w:rsidR="00E26342" w:rsidRDefault="00040788">
      <w:pPr>
        <w:numPr>
          <w:ilvl w:val="2"/>
          <w:numId w:val="2"/>
        </w:numPr>
        <w:spacing w:after="200"/>
        <w:ind w:left="1843" w:hanging="425"/>
        <w:contextualSpacing/>
        <w:rPr>
          <w:rFonts w:ascii="Arial" w:hAnsi="Arial" w:cs="Arial"/>
          <w:noProof/>
          <w:sz w:val="20"/>
        </w:rPr>
      </w:pPr>
      <w:r>
        <w:rPr>
          <w:rFonts w:ascii="Arial" w:hAnsi="Arial" w:cs="Arial"/>
          <w:noProof/>
          <w:sz w:val="20"/>
        </w:rPr>
        <w:t>Directive on undertakings for collective investment in transferable securities</w:t>
      </w:r>
      <w:r>
        <w:rPr>
          <w:rStyle w:val="FootnoteReference"/>
          <w:rFonts w:cs="Arial"/>
          <w:noProof/>
        </w:rPr>
        <w:footnoteReference w:id="290"/>
      </w:r>
      <w:r>
        <w:rPr>
          <w:rFonts w:ascii="Arial" w:hAnsi="Arial" w:cs="Arial"/>
          <w:noProof/>
          <w:sz w:val="20"/>
        </w:rPr>
        <w:t>;</w:t>
      </w:r>
    </w:p>
    <w:p w:rsidR="00E26342" w:rsidRDefault="00040788">
      <w:pPr>
        <w:numPr>
          <w:ilvl w:val="2"/>
          <w:numId w:val="2"/>
        </w:numPr>
        <w:spacing w:after="200"/>
        <w:ind w:left="1843" w:hanging="425"/>
        <w:contextualSpacing/>
        <w:rPr>
          <w:rFonts w:ascii="Arial" w:hAnsi="Arial" w:cs="Arial"/>
          <w:noProof/>
          <w:sz w:val="20"/>
        </w:rPr>
      </w:pPr>
      <w:r>
        <w:rPr>
          <w:rFonts w:ascii="Arial" w:hAnsi="Arial"/>
          <w:noProof/>
          <w:sz w:val="20"/>
        </w:rPr>
        <w:t xml:space="preserve">Directive on </w:t>
      </w:r>
      <w:r>
        <w:rPr>
          <w:rFonts w:ascii="Arial" w:hAnsi="Arial"/>
          <w:noProof/>
          <w:sz w:val="20"/>
        </w:rPr>
        <w:t>disclosure of non-financial and diversity information by certain large undertakings</w:t>
      </w:r>
      <w:r>
        <w:rPr>
          <w:rStyle w:val="FootnoteReference"/>
          <w:rFonts w:ascii="Arial" w:hAnsi="Arial"/>
          <w:noProof/>
          <w:sz w:val="20"/>
        </w:rPr>
        <w:footnoteReference w:id="291"/>
      </w:r>
      <w:r>
        <w:rPr>
          <w:rFonts w:ascii="Arial" w:hAnsi="Arial" w:cs="Arial"/>
          <w:noProof/>
          <w:sz w:val="20"/>
        </w:rPr>
        <w:t>;</w:t>
      </w:r>
    </w:p>
    <w:p w:rsidR="00E26342" w:rsidRDefault="00040788">
      <w:pPr>
        <w:numPr>
          <w:ilvl w:val="2"/>
          <w:numId w:val="2"/>
        </w:numPr>
        <w:spacing w:after="200"/>
        <w:ind w:left="1843" w:hanging="425"/>
        <w:contextualSpacing/>
        <w:rPr>
          <w:rStyle w:val="Strong"/>
          <w:rFonts w:ascii="Arial" w:hAnsi="Arial" w:cs="Arial"/>
          <w:b w:val="0"/>
          <w:bCs w:val="0"/>
          <w:noProof/>
          <w:sz w:val="20"/>
        </w:rPr>
      </w:pPr>
      <w:r>
        <w:rPr>
          <w:rStyle w:val="Strong"/>
          <w:rFonts w:ascii="Arial" w:hAnsi="Arial" w:cs="Arial"/>
          <w:b w:val="0"/>
          <w:noProof/>
          <w:sz w:val="20"/>
        </w:rPr>
        <w:t>Directive relating to the making available on the market of simple pressure vessels</w:t>
      </w:r>
      <w:r>
        <w:rPr>
          <w:rStyle w:val="FootnoteReference"/>
          <w:rFonts w:ascii="Arial" w:hAnsi="Arial" w:cs="Arial"/>
          <w:bCs/>
          <w:noProof/>
          <w:sz w:val="20"/>
        </w:rPr>
        <w:footnoteReference w:id="292"/>
      </w:r>
      <w:r>
        <w:rPr>
          <w:rStyle w:val="Strong"/>
          <w:rFonts w:ascii="Arial" w:hAnsi="Arial" w:cs="Arial"/>
          <w:b w:val="0"/>
          <w:noProof/>
          <w:sz w:val="20"/>
        </w:rPr>
        <w:t>;</w:t>
      </w:r>
    </w:p>
    <w:p w:rsidR="00E26342" w:rsidRDefault="00040788">
      <w:pPr>
        <w:numPr>
          <w:ilvl w:val="2"/>
          <w:numId w:val="2"/>
        </w:numPr>
        <w:spacing w:after="200"/>
        <w:ind w:left="1843" w:hanging="425"/>
        <w:contextualSpacing/>
        <w:rPr>
          <w:rFonts w:ascii="Arial" w:hAnsi="Arial" w:cs="Arial"/>
          <w:noProof/>
          <w:sz w:val="20"/>
        </w:rPr>
      </w:pPr>
      <w:r>
        <w:rPr>
          <w:rFonts w:ascii="Arial" w:hAnsi="Arial" w:cs="Arial"/>
          <w:noProof/>
          <w:sz w:val="20"/>
        </w:rPr>
        <w:t>Directive on lifts</w:t>
      </w:r>
      <w:r>
        <w:rPr>
          <w:rStyle w:val="FootnoteReference"/>
          <w:rFonts w:ascii="Arial" w:hAnsi="Arial" w:cs="Arial"/>
          <w:noProof/>
          <w:sz w:val="20"/>
        </w:rPr>
        <w:footnoteReference w:id="293"/>
      </w:r>
      <w:r>
        <w:rPr>
          <w:rFonts w:ascii="Arial" w:hAnsi="Arial" w:cs="Arial"/>
          <w:noProof/>
          <w:sz w:val="20"/>
        </w:rPr>
        <w:t>;</w:t>
      </w:r>
    </w:p>
    <w:p w:rsidR="00E26342" w:rsidRDefault="00040788">
      <w:pPr>
        <w:numPr>
          <w:ilvl w:val="2"/>
          <w:numId w:val="2"/>
        </w:numPr>
        <w:spacing w:after="200"/>
        <w:ind w:left="1843" w:hanging="425"/>
        <w:contextualSpacing/>
        <w:rPr>
          <w:rStyle w:val="Strong"/>
          <w:rFonts w:ascii="Arial" w:hAnsi="Arial" w:cs="Arial"/>
          <w:b w:val="0"/>
          <w:bCs w:val="0"/>
          <w:noProof/>
          <w:sz w:val="20"/>
        </w:rPr>
      </w:pPr>
      <w:r>
        <w:rPr>
          <w:rFonts w:ascii="Arial" w:hAnsi="Arial" w:cs="Arial"/>
          <w:noProof/>
          <w:sz w:val="20"/>
        </w:rPr>
        <w:t>Low Voltage Directive</w:t>
      </w:r>
      <w:r>
        <w:rPr>
          <w:rStyle w:val="FootnoteReference"/>
          <w:rFonts w:ascii="Arial" w:hAnsi="Arial" w:cs="Arial"/>
          <w:bCs/>
          <w:noProof/>
          <w:sz w:val="20"/>
        </w:rPr>
        <w:footnoteReference w:id="294"/>
      </w:r>
      <w:r>
        <w:rPr>
          <w:rStyle w:val="Strong"/>
          <w:rFonts w:ascii="Arial" w:hAnsi="Arial" w:cs="Arial"/>
          <w:b w:val="0"/>
          <w:noProof/>
          <w:sz w:val="20"/>
        </w:rPr>
        <w:t>;</w:t>
      </w:r>
    </w:p>
    <w:p w:rsidR="00E26342" w:rsidRDefault="00040788">
      <w:pPr>
        <w:numPr>
          <w:ilvl w:val="2"/>
          <w:numId w:val="2"/>
        </w:numPr>
        <w:spacing w:after="200"/>
        <w:ind w:left="1843" w:hanging="425"/>
        <w:contextualSpacing/>
        <w:rPr>
          <w:rStyle w:val="Strong"/>
          <w:rFonts w:ascii="Arial" w:hAnsi="Arial" w:cs="Arial"/>
          <w:b w:val="0"/>
          <w:bCs w:val="0"/>
          <w:noProof/>
          <w:sz w:val="20"/>
        </w:rPr>
      </w:pPr>
      <w:r>
        <w:rPr>
          <w:rFonts w:ascii="Arial" w:hAnsi="Arial" w:cs="Arial"/>
          <w:noProof/>
          <w:sz w:val="20"/>
        </w:rPr>
        <w:t>Directive</w:t>
      </w:r>
      <w:r>
        <w:rPr>
          <w:rFonts w:ascii="Arial" w:hAnsi="Arial" w:cs="Arial"/>
          <w:b/>
          <w:noProof/>
          <w:sz w:val="20"/>
        </w:rPr>
        <w:t xml:space="preserve"> </w:t>
      </w:r>
      <w:r>
        <w:rPr>
          <w:rStyle w:val="Strong"/>
          <w:rFonts w:ascii="Arial" w:hAnsi="Arial" w:cs="Arial"/>
          <w:b w:val="0"/>
          <w:noProof/>
          <w:sz w:val="20"/>
        </w:rPr>
        <w:t xml:space="preserve">relating to the making </w:t>
      </w:r>
      <w:r>
        <w:rPr>
          <w:rStyle w:val="Strong"/>
          <w:rFonts w:ascii="Arial" w:hAnsi="Arial" w:cs="Arial"/>
          <w:b w:val="0"/>
          <w:noProof/>
          <w:sz w:val="20"/>
        </w:rPr>
        <w:t>available on the market of measuring instruments</w:t>
      </w:r>
      <w:r>
        <w:rPr>
          <w:rStyle w:val="FootnoteReference"/>
          <w:rFonts w:ascii="Arial" w:hAnsi="Arial" w:cs="Arial"/>
          <w:bCs/>
          <w:noProof/>
          <w:sz w:val="20"/>
        </w:rPr>
        <w:footnoteReference w:id="295"/>
      </w:r>
      <w:r>
        <w:rPr>
          <w:rStyle w:val="Strong"/>
          <w:rFonts w:ascii="Arial" w:hAnsi="Arial" w:cs="Arial"/>
          <w:b w:val="0"/>
          <w:noProof/>
          <w:sz w:val="20"/>
        </w:rPr>
        <w:t>;</w:t>
      </w:r>
    </w:p>
    <w:p w:rsidR="00E26342" w:rsidRDefault="00040788">
      <w:pPr>
        <w:numPr>
          <w:ilvl w:val="2"/>
          <w:numId w:val="2"/>
        </w:numPr>
        <w:spacing w:after="200"/>
        <w:ind w:left="1843" w:hanging="425"/>
        <w:contextualSpacing/>
        <w:rPr>
          <w:rStyle w:val="Strong"/>
          <w:rFonts w:ascii="Arial" w:hAnsi="Arial" w:cs="Arial"/>
          <w:b w:val="0"/>
          <w:bCs w:val="0"/>
          <w:noProof/>
          <w:sz w:val="20"/>
        </w:rPr>
      </w:pPr>
      <w:r>
        <w:rPr>
          <w:rFonts w:ascii="Arial" w:hAnsi="Arial"/>
          <w:noProof/>
          <w:sz w:val="20"/>
        </w:rPr>
        <w:t>Directive on the r</w:t>
      </w:r>
      <w:r>
        <w:rPr>
          <w:rStyle w:val="Strong"/>
          <w:rFonts w:ascii="Arial" w:hAnsi="Arial" w:cs="Arial"/>
          <w:b w:val="0"/>
          <w:noProof/>
          <w:sz w:val="20"/>
        </w:rPr>
        <w:t>eturn of unlawfully removed cultural goods</w:t>
      </w:r>
      <w:r>
        <w:rPr>
          <w:rStyle w:val="FootnoteReference"/>
          <w:rFonts w:ascii="Arial" w:hAnsi="Arial" w:cs="Arial"/>
          <w:bCs/>
          <w:noProof/>
          <w:sz w:val="20"/>
        </w:rPr>
        <w:footnoteReference w:id="296"/>
      </w:r>
      <w:r>
        <w:rPr>
          <w:rStyle w:val="Strong"/>
          <w:rFonts w:ascii="Arial" w:hAnsi="Arial" w:cs="Arial"/>
          <w:b w:val="0"/>
          <w:noProof/>
          <w:sz w:val="20"/>
        </w:rPr>
        <w:t>;</w:t>
      </w:r>
    </w:p>
    <w:p w:rsidR="00E26342" w:rsidRDefault="00040788">
      <w:pPr>
        <w:numPr>
          <w:ilvl w:val="2"/>
          <w:numId w:val="2"/>
        </w:numPr>
        <w:spacing w:after="200"/>
        <w:ind w:left="1843" w:hanging="425"/>
        <w:contextualSpacing/>
        <w:rPr>
          <w:rStyle w:val="Strong"/>
          <w:rFonts w:ascii="Arial" w:hAnsi="Arial" w:cs="Arial"/>
          <w:b w:val="0"/>
          <w:bCs w:val="0"/>
          <w:noProof/>
          <w:sz w:val="20"/>
        </w:rPr>
      </w:pPr>
      <w:r>
        <w:rPr>
          <w:rStyle w:val="Strong"/>
          <w:rFonts w:ascii="Arial" w:hAnsi="Arial" w:cs="Arial"/>
          <w:b w:val="0"/>
          <w:noProof/>
          <w:sz w:val="20"/>
        </w:rPr>
        <w:t>Directive relating to the making available on the market of non-automatic weighing instruments</w:t>
      </w:r>
      <w:r>
        <w:rPr>
          <w:rStyle w:val="FootnoteReference"/>
          <w:rFonts w:ascii="Arial" w:hAnsi="Arial" w:cs="Arial"/>
          <w:bCs/>
          <w:noProof/>
          <w:sz w:val="20"/>
        </w:rPr>
        <w:footnoteReference w:id="297"/>
      </w:r>
      <w:r>
        <w:rPr>
          <w:rStyle w:val="Strong"/>
          <w:rFonts w:ascii="Arial" w:hAnsi="Arial" w:cs="Arial"/>
          <w:b w:val="0"/>
          <w:noProof/>
          <w:sz w:val="20"/>
        </w:rPr>
        <w:t>;</w:t>
      </w:r>
    </w:p>
    <w:p w:rsidR="00E26342" w:rsidRDefault="00040788">
      <w:pPr>
        <w:numPr>
          <w:ilvl w:val="2"/>
          <w:numId w:val="2"/>
        </w:numPr>
        <w:spacing w:after="200"/>
        <w:ind w:left="1843" w:hanging="425"/>
        <w:contextualSpacing/>
        <w:rPr>
          <w:rStyle w:val="Strong"/>
          <w:rFonts w:ascii="Arial" w:hAnsi="Arial" w:cs="Arial"/>
          <w:b w:val="0"/>
          <w:bCs w:val="0"/>
          <w:noProof/>
          <w:sz w:val="20"/>
        </w:rPr>
      </w:pPr>
      <w:r>
        <w:rPr>
          <w:rFonts w:ascii="Arial" w:hAnsi="Arial" w:cs="Arial"/>
          <w:noProof/>
          <w:sz w:val="20"/>
        </w:rPr>
        <w:t>Directive on port reception facilities for sh</w:t>
      </w:r>
      <w:r>
        <w:rPr>
          <w:rFonts w:ascii="Arial" w:hAnsi="Arial" w:cs="Arial"/>
          <w:noProof/>
          <w:sz w:val="20"/>
        </w:rPr>
        <w:t>ip-generated waste and cargo residues</w:t>
      </w:r>
      <w:r>
        <w:rPr>
          <w:rStyle w:val="FootnoteReference"/>
          <w:noProof/>
        </w:rPr>
        <w:footnoteReference w:id="298"/>
      </w:r>
      <w:r>
        <w:rPr>
          <w:rFonts w:ascii="Arial" w:hAnsi="Arial" w:cs="Arial"/>
          <w:noProof/>
          <w:sz w:val="20"/>
        </w:rPr>
        <w:t>;</w:t>
      </w:r>
    </w:p>
    <w:p w:rsidR="00E26342" w:rsidRDefault="00040788">
      <w:pPr>
        <w:numPr>
          <w:ilvl w:val="2"/>
          <w:numId w:val="2"/>
        </w:numPr>
        <w:spacing w:after="0"/>
        <w:ind w:left="1843" w:hanging="425"/>
        <w:contextualSpacing/>
        <w:rPr>
          <w:rFonts w:ascii="Arial" w:hAnsi="Arial" w:cs="Arial"/>
          <w:noProof/>
          <w:sz w:val="20"/>
        </w:rPr>
      </w:pPr>
      <w:r>
        <w:rPr>
          <w:rFonts w:ascii="Arial" w:hAnsi="Arial" w:cs="Arial"/>
          <w:noProof/>
          <w:sz w:val="20"/>
        </w:rPr>
        <w:t>Directive on recreational craft and personal watercraft</w:t>
      </w:r>
      <w:r>
        <w:rPr>
          <w:rStyle w:val="FootnoteReference"/>
          <w:rFonts w:ascii="Arial" w:hAnsi="Arial" w:cs="Arial"/>
          <w:noProof/>
          <w:sz w:val="20"/>
        </w:rPr>
        <w:footnoteReference w:id="299"/>
      </w:r>
      <w:r>
        <w:rPr>
          <w:rFonts w:ascii="Arial" w:hAnsi="Arial" w:cs="Arial"/>
          <w:noProof/>
          <w:sz w:val="20"/>
        </w:rPr>
        <w:t>;</w:t>
      </w:r>
    </w:p>
    <w:p w:rsidR="00E26342" w:rsidRDefault="00040788">
      <w:pPr>
        <w:pStyle w:val="Lijstje2"/>
        <w:spacing w:after="200"/>
        <w:ind w:left="1276" w:hanging="425"/>
        <w:rPr>
          <w:rFonts w:ascii="Arial" w:hAnsi="Arial"/>
          <w:noProof/>
          <w:lang w:val="en-GB"/>
        </w:rPr>
      </w:pPr>
      <w:r>
        <w:rPr>
          <w:rFonts w:ascii="Arial" w:hAnsi="Arial"/>
          <w:noProof/>
          <w:lang w:val="en-GB"/>
        </w:rPr>
        <w:t>disproportionate taxing of vehicles leased or rented in other Member States when their limited duration of use in Finland is precisely known</w:t>
      </w:r>
      <w:r>
        <w:rPr>
          <w:rStyle w:val="FootnoteReference"/>
          <w:rFonts w:ascii="Arial" w:hAnsi="Arial" w:cs="Arial"/>
          <w:noProof/>
          <w:lang w:val="en-GB"/>
        </w:rPr>
        <w:footnoteReference w:id="300"/>
      </w:r>
      <w:r>
        <w:rPr>
          <w:rFonts w:ascii="Arial" w:hAnsi="Arial" w:cs="Arial"/>
          <w:noProof/>
          <w:lang w:val="en-GB"/>
        </w:rPr>
        <w:t>;</w:t>
      </w:r>
    </w:p>
    <w:p w:rsidR="00E26342" w:rsidRDefault="00040788">
      <w:pPr>
        <w:pStyle w:val="Lijstje2"/>
        <w:spacing w:after="200"/>
        <w:ind w:left="1276" w:hanging="425"/>
        <w:rPr>
          <w:rFonts w:ascii="Arial" w:hAnsi="Arial" w:cs="Arial"/>
          <w:noProof/>
          <w:lang w:val="en-GB"/>
        </w:rPr>
      </w:pPr>
      <w:r>
        <w:rPr>
          <w:rFonts w:ascii="Arial" w:hAnsi="Arial" w:cs="Arial"/>
          <w:noProof/>
          <w:lang w:val="en-GB"/>
        </w:rPr>
        <w:t xml:space="preserve">failure to </w:t>
      </w:r>
      <w:r>
        <w:rPr>
          <w:rFonts w:ascii="Arial" w:hAnsi="Arial" w:cs="Arial"/>
          <w:noProof/>
          <w:lang w:val="en-GB"/>
        </w:rPr>
        <w:t>notify a national policy framework under the Directive on the deployment of alternative fuels</w:t>
      </w:r>
      <w:r>
        <w:rPr>
          <w:rStyle w:val="FootnoteReference"/>
          <w:noProof/>
          <w:lang w:val="en-GB"/>
        </w:rPr>
        <w:footnoteReference w:id="301"/>
      </w:r>
      <w:r>
        <w:rPr>
          <w:rFonts w:ascii="Arial" w:hAnsi="Arial" w:cs="Arial"/>
          <w:noProof/>
          <w:lang w:val="en-GB"/>
        </w:rPr>
        <w:t>.</w:t>
      </w:r>
    </w:p>
    <w:p w:rsidR="00E26342" w:rsidRDefault="00040788">
      <w:pPr>
        <w:pStyle w:val="kop2"/>
        <w:numPr>
          <w:ilvl w:val="0"/>
          <w:numId w:val="3"/>
        </w:numPr>
        <w:spacing w:before="360" w:after="240"/>
        <w:ind w:left="709" w:hanging="425"/>
        <w:rPr>
          <w:noProof/>
        </w:rPr>
      </w:pPr>
      <w:r>
        <w:rPr>
          <w:noProof/>
        </w:rPr>
        <w:t>IMPORTANT JUDGMENTS</w:t>
      </w:r>
    </w:p>
    <w:p w:rsidR="00E26342" w:rsidRDefault="00040788">
      <w:pPr>
        <w:pStyle w:val="AnnualReport2"/>
        <w:numPr>
          <w:ilvl w:val="0"/>
          <w:numId w:val="148"/>
        </w:numPr>
        <w:spacing w:before="360"/>
        <w:ind w:left="709" w:hanging="425"/>
        <w:rPr>
          <w:noProof/>
        </w:rPr>
      </w:pPr>
      <w:r>
        <w:rPr>
          <w:noProof/>
        </w:rPr>
        <w:t>Court rulings</w:t>
      </w:r>
    </w:p>
    <w:p w:rsidR="00E26342" w:rsidRDefault="00040788">
      <w:pPr>
        <w:pStyle w:val="Body"/>
        <w:rPr>
          <w:noProof/>
          <w:lang w:val="en-GB"/>
        </w:rPr>
      </w:pPr>
      <w:r>
        <w:rPr>
          <w:noProof/>
          <w:lang w:val="en-GB"/>
        </w:rPr>
        <w:t>There were no major Court rulings in 2017.</w:t>
      </w:r>
    </w:p>
    <w:p w:rsidR="00E26342" w:rsidRDefault="00040788">
      <w:pPr>
        <w:pStyle w:val="AnnualReport2"/>
        <w:numPr>
          <w:ilvl w:val="0"/>
          <w:numId w:val="148"/>
        </w:numPr>
        <w:spacing w:before="360"/>
        <w:ind w:left="709" w:hanging="425"/>
        <w:rPr>
          <w:noProof/>
        </w:rPr>
      </w:pPr>
      <w:r>
        <w:rPr>
          <w:noProof/>
        </w:rPr>
        <w:t>Preliminary rulings</w:t>
      </w:r>
    </w:p>
    <w:p w:rsidR="00E26342" w:rsidRDefault="00040788">
      <w:pPr>
        <w:pStyle w:val="Body"/>
        <w:ind w:left="709" w:firstLine="0"/>
        <w:rPr>
          <w:noProof/>
          <w:lang w:val="en-GB"/>
        </w:rPr>
      </w:pPr>
      <w:r>
        <w:rPr>
          <w:noProof/>
          <w:lang w:val="en-GB"/>
        </w:rPr>
        <w:t>The Court addressed the following preliminary rulings to the Fi</w:t>
      </w:r>
      <w:r>
        <w:rPr>
          <w:noProof/>
          <w:lang w:val="en-GB"/>
        </w:rPr>
        <w:t xml:space="preserve">nnish judiciary. </w:t>
      </w:r>
    </w:p>
    <w:p w:rsidR="00E26342" w:rsidRDefault="00040788">
      <w:pPr>
        <w:pStyle w:val="Lijstje2"/>
        <w:ind w:left="1276" w:hanging="425"/>
        <w:rPr>
          <w:rFonts w:ascii="Arial" w:hAnsi="Arial" w:cs="Arial"/>
          <w:noProof/>
          <w:lang w:val="en-GB"/>
        </w:rPr>
      </w:pPr>
      <w:r>
        <w:rPr>
          <w:rFonts w:ascii="Arial" w:hAnsi="Arial" w:cs="Arial"/>
          <w:noProof/>
          <w:lang w:val="en-GB"/>
        </w:rPr>
        <w:t>The provisions of the Working Time Directive on working time and rest periods ers’ are applicable to ‘relief parents’</w:t>
      </w:r>
      <w:r>
        <w:rPr>
          <w:rStyle w:val="FootnoteReference"/>
          <w:rFonts w:ascii="Arial" w:hAnsi="Arial" w:cs="Arial"/>
          <w:noProof/>
          <w:lang w:val="en-GB"/>
        </w:rPr>
        <w:footnoteReference w:id="302"/>
      </w:r>
      <w:r>
        <w:rPr>
          <w:rFonts w:ascii="Arial" w:hAnsi="Arial" w:cs="Arial"/>
          <w:noProof/>
          <w:lang w:val="en-GB"/>
        </w:rPr>
        <w:t xml:space="preserve"> unless their working time as a whole is not measured or predetermined or may be determined by the worker himself</w:t>
      </w:r>
      <w:r>
        <w:rPr>
          <w:rStyle w:val="FootnoteReference"/>
          <w:rFonts w:ascii="Arial" w:hAnsi="Arial" w:cs="Arial"/>
          <w:noProof/>
          <w:lang w:val="en-GB"/>
        </w:rPr>
        <w:footnoteReference w:id="303"/>
      </w:r>
      <w:r>
        <w:rPr>
          <w:rFonts w:ascii="Arial" w:hAnsi="Arial" w:cs="Arial"/>
          <w:noProof/>
          <w:lang w:val="en-GB"/>
        </w:rPr>
        <w:t>.</w:t>
      </w:r>
    </w:p>
    <w:p w:rsidR="00E26342" w:rsidRDefault="00040788">
      <w:pPr>
        <w:pStyle w:val="Lijstje2"/>
        <w:ind w:left="1276" w:hanging="425"/>
        <w:rPr>
          <w:rFonts w:ascii="Arial" w:hAnsi="Arial" w:cs="Arial"/>
          <w:noProof/>
          <w:lang w:val="en-GB"/>
        </w:rPr>
      </w:pPr>
      <w:r>
        <w:rPr>
          <w:rFonts w:ascii="Arial" w:hAnsi="Arial" w:cs="Arial"/>
          <w:noProof/>
          <w:lang w:val="en-GB"/>
        </w:rPr>
        <w:t xml:space="preserve">All </w:t>
      </w:r>
      <w:r>
        <w:rPr>
          <w:rFonts w:ascii="Arial" w:hAnsi="Arial" w:cs="Arial"/>
          <w:noProof/>
          <w:lang w:val="en-GB"/>
        </w:rPr>
        <w:t>postal service providers may be subject to obligations concerning quality, availability and</w:t>
      </w:r>
      <w:r>
        <w:rPr>
          <w:rFonts w:ascii="Arial" w:eastAsia="MS Mincho" w:hAnsi="Arial" w:cs="Arial"/>
          <w:noProof/>
          <w:lang w:val="en-GB" w:eastAsia="ja-JP"/>
        </w:rPr>
        <w:t xml:space="preserve"> </w:t>
      </w:r>
      <w:r>
        <w:rPr>
          <w:rFonts w:ascii="Arial" w:hAnsi="Arial" w:cs="Arial"/>
          <w:noProof/>
          <w:lang w:val="en-GB"/>
        </w:rPr>
        <w:t>performance; express/courier/parcel service providers are subject to the Postal Services Directive</w:t>
      </w:r>
      <w:r>
        <w:rPr>
          <w:rStyle w:val="FootnoteReference"/>
          <w:rFonts w:ascii="Arial" w:hAnsi="Arial" w:cs="Arial"/>
          <w:noProof/>
        </w:rPr>
        <w:footnoteReference w:id="304"/>
      </w:r>
      <w:r>
        <w:rPr>
          <w:rFonts w:ascii="Arial" w:hAnsi="Arial" w:cs="Arial"/>
          <w:noProof/>
          <w:lang w:val="en-GB"/>
        </w:rPr>
        <w:t>.</w:t>
      </w:r>
    </w:p>
    <w:p w:rsidR="00E26342" w:rsidRDefault="00E26342">
      <w:pPr>
        <w:pStyle w:val="Lijstje2"/>
        <w:numPr>
          <w:ilvl w:val="0"/>
          <w:numId w:val="0"/>
        </w:numPr>
        <w:rPr>
          <w:rFonts w:ascii="Arial" w:hAnsi="Arial" w:cs="Arial"/>
          <w:noProof/>
          <w:lang w:val="en-GB"/>
        </w:rPr>
      </w:pPr>
    </w:p>
    <w:p w:rsidR="00E26342" w:rsidRDefault="00E26342">
      <w:pPr>
        <w:spacing w:after="0"/>
        <w:jc w:val="left"/>
        <w:rPr>
          <w:noProof/>
        </w:rPr>
        <w:sectPr w:rsidR="00E26342">
          <w:headerReference w:type="even" r:id="rId200"/>
          <w:headerReference w:type="default" r:id="rId201"/>
          <w:footerReference w:type="even" r:id="rId202"/>
          <w:footerReference w:type="default" r:id="rId203"/>
          <w:headerReference w:type="first" r:id="rId204"/>
          <w:footerReference w:type="first" r:id="rId205"/>
          <w:footnotePr>
            <w:numRestart w:val="eachSect"/>
          </w:footnotePr>
          <w:pgSz w:w="11906" w:h="16838"/>
          <w:pgMar w:top="1701" w:right="1417" w:bottom="1134" w:left="1417" w:header="567" w:footer="351" w:gutter="0"/>
          <w:cols w:space="708"/>
          <w:titlePg/>
          <w:docGrid w:linePitch="360"/>
        </w:sectPr>
      </w:pPr>
    </w:p>
    <w:p w:rsidR="00E26342" w:rsidRDefault="00040788">
      <w:pPr>
        <w:pStyle w:val="Heading1"/>
        <w:rPr>
          <w:noProof/>
        </w:rPr>
      </w:pPr>
      <w:bookmarkStart w:id="58" w:name="_Toc484622343"/>
      <w:bookmarkStart w:id="59" w:name="_Toc510015292"/>
      <w:r>
        <w:rPr>
          <w:noProof/>
        </w:rPr>
        <w:t>Sweden</w:t>
      </w:r>
      <w:bookmarkEnd w:id="55"/>
      <w:bookmarkEnd w:id="56"/>
      <w:bookmarkEnd w:id="57"/>
      <w:bookmarkEnd w:id="58"/>
      <w:bookmarkEnd w:id="59"/>
    </w:p>
    <w:p w:rsidR="00E26342" w:rsidRDefault="00040788">
      <w:pPr>
        <w:pStyle w:val="kop2"/>
        <w:numPr>
          <w:ilvl w:val="0"/>
          <w:numId w:val="46"/>
        </w:numPr>
        <w:spacing w:before="360" w:after="240"/>
        <w:ind w:left="709" w:hanging="425"/>
        <w:rPr>
          <w:noProof/>
        </w:rPr>
      </w:pPr>
      <w:r>
        <w:rPr>
          <w:noProof/>
        </w:rPr>
        <w:t>COMPLAINTS</w:t>
      </w:r>
    </w:p>
    <w:p w:rsidR="00E26342" w:rsidRDefault="00040788">
      <w:pPr>
        <w:pStyle w:val="AnnualReport2"/>
        <w:numPr>
          <w:ilvl w:val="0"/>
          <w:numId w:val="150"/>
        </w:numPr>
        <w:ind w:left="709" w:hanging="425"/>
        <w:rPr>
          <w:noProof/>
        </w:rPr>
      </w:pPr>
      <w:r>
        <w:rPr>
          <w:noProof/>
        </w:rPr>
        <w:t>New complaints made against Sweden by members of the</w:t>
      </w:r>
      <w:r>
        <w:rPr>
          <w:noProof/>
        </w:rPr>
        <w:t xml:space="preserve"> public (2013-2017)</w:t>
      </w:r>
    </w:p>
    <w:p w:rsidR="00E26342" w:rsidRDefault="00040788">
      <w:pPr>
        <w:ind w:firstLine="709"/>
        <w:rPr>
          <w:rFonts w:ascii="Arial" w:hAnsi="Arial" w:cs="Arial"/>
          <w:noProof/>
          <w:sz w:val="20"/>
        </w:rPr>
      </w:pPr>
      <w:r>
        <w:rPr>
          <w:rFonts w:ascii="Arial" w:hAnsi="Arial" w:cs="Arial"/>
          <w:noProof/>
          <w:sz w:val="20"/>
          <w:lang w:eastAsia="en-GB"/>
        </w:rPr>
        <w:drawing>
          <wp:inline distT="0" distB="0" distL="0" distR="0" wp14:anchorId="7664ADE3" wp14:editId="0F6FE7A3">
            <wp:extent cx="4612005" cy="2472690"/>
            <wp:effectExtent l="0" t="0" r="0" b="0"/>
            <wp:docPr id="288"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p>
    <w:p w:rsidR="00E26342" w:rsidRDefault="00040788">
      <w:pPr>
        <w:pStyle w:val="AnnualReport2"/>
        <w:numPr>
          <w:ilvl w:val="0"/>
          <w:numId w:val="150"/>
        </w:numPr>
        <w:ind w:left="709" w:hanging="425"/>
        <w:rPr>
          <w:noProof/>
        </w:rPr>
      </w:pPr>
      <w:r>
        <w:rPr>
          <w:noProof/>
        </w:rPr>
        <w:t>Public complaints against Sweden open at year-end</w:t>
      </w:r>
    </w:p>
    <w:tbl>
      <w:tblPr>
        <w:tblW w:w="0" w:type="auto"/>
        <w:jc w:val="center"/>
        <w:tblLook w:val="04A0" w:firstRow="1" w:lastRow="0" w:firstColumn="1" w:lastColumn="0" w:noHBand="0" w:noVBand="1"/>
      </w:tblPr>
      <w:tblGrid>
        <w:gridCol w:w="1697"/>
        <w:gridCol w:w="452"/>
        <w:gridCol w:w="5310"/>
      </w:tblGrid>
      <w:tr w:rsidR="00E26342">
        <w:trPr>
          <w:trHeight w:val="403"/>
          <w:jc w:val="center"/>
        </w:trPr>
        <w:tc>
          <w:tcPr>
            <w:tcW w:w="1697" w:type="dxa"/>
            <w:shd w:val="clear" w:color="auto" w:fill="auto"/>
            <w:vAlign w:val="center"/>
          </w:tcPr>
          <w:p w:rsidR="00E26342" w:rsidRDefault="00040788">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89</w:t>
            </w:r>
          </w:p>
        </w:tc>
        <w:tc>
          <w:tcPr>
            <w:tcW w:w="452" w:type="dxa"/>
            <w:shd w:val="clear" w:color="auto" w:fill="auto"/>
            <w:vAlign w:val="center"/>
          </w:tcPr>
          <w:p w:rsidR="00E26342" w:rsidRDefault="00040788">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E26342" w:rsidRDefault="00040788">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Complaints open at end-2016</w:t>
            </w:r>
          </w:p>
        </w:tc>
      </w:tr>
      <w:tr w:rsidR="00E26342">
        <w:trPr>
          <w:trHeight w:val="403"/>
          <w:jc w:val="center"/>
        </w:trPr>
        <w:tc>
          <w:tcPr>
            <w:tcW w:w="1697" w:type="dxa"/>
            <w:shd w:val="clear" w:color="auto" w:fill="auto"/>
            <w:vAlign w:val="center"/>
          </w:tcPr>
          <w:p w:rsidR="00E26342" w:rsidRDefault="00040788">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111</w:t>
            </w:r>
          </w:p>
        </w:tc>
        <w:tc>
          <w:tcPr>
            <w:tcW w:w="452" w:type="dxa"/>
            <w:shd w:val="clear" w:color="auto" w:fill="auto"/>
            <w:vAlign w:val="center"/>
          </w:tcPr>
          <w:p w:rsidR="00E26342" w:rsidRDefault="00040788">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E26342" w:rsidRDefault="00040788">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New complaints registered in 2017</w:t>
            </w:r>
          </w:p>
        </w:tc>
      </w:tr>
      <w:tr w:rsidR="00E26342">
        <w:trPr>
          <w:trHeight w:val="403"/>
          <w:jc w:val="center"/>
        </w:trPr>
        <w:tc>
          <w:tcPr>
            <w:tcW w:w="1697" w:type="dxa"/>
            <w:tcBorders>
              <w:bottom w:val="single" w:sz="24" w:space="0" w:color="548DD4"/>
            </w:tcBorders>
            <w:shd w:val="clear" w:color="auto" w:fill="auto"/>
            <w:vAlign w:val="center"/>
          </w:tcPr>
          <w:p w:rsidR="00E26342" w:rsidRDefault="00040788">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85</w:t>
            </w:r>
          </w:p>
        </w:tc>
        <w:tc>
          <w:tcPr>
            <w:tcW w:w="452" w:type="dxa"/>
            <w:shd w:val="clear" w:color="auto" w:fill="auto"/>
            <w:vAlign w:val="center"/>
          </w:tcPr>
          <w:p w:rsidR="00E26342" w:rsidRDefault="00040788">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E26342" w:rsidRDefault="00040788">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Complaints handled in 2017</w:t>
            </w:r>
          </w:p>
        </w:tc>
      </w:tr>
      <w:tr w:rsidR="00E26342">
        <w:trPr>
          <w:trHeight w:val="403"/>
          <w:jc w:val="center"/>
        </w:trPr>
        <w:tc>
          <w:tcPr>
            <w:tcW w:w="1697" w:type="dxa"/>
            <w:tcBorders>
              <w:top w:val="single" w:sz="24" w:space="0" w:color="548DD4"/>
            </w:tcBorders>
            <w:shd w:val="clear" w:color="auto" w:fill="auto"/>
            <w:vAlign w:val="center"/>
          </w:tcPr>
          <w:p w:rsidR="00E26342" w:rsidRDefault="00040788">
            <w:pPr>
              <w:spacing w:after="0"/>
              <w:jc w:val="right"/>
              <w:rPr>
                <w:rFonts w:ascii="Arial" w:hAnsi="Arial" w:cs="Arial"/>
                <w:noProof/>
                <w:color w:val="C00000"/>
                <w:sz w:val="22"/>
                <w:szCs w:val="28"/>
                <w:lang w:eastAsia="en-GB"/>
              </w:rPr>
            </w:pPr>
            <w:r>
              <w:rPr>
                <w:rFonts w:ascii="Arial" w:hAnsi="Arial" w:cs="Arial"/>
                <w:noProof/>
                <w:color w:val="C00000"/>
                <w:sz w:val="22"/>
                <w:szCs w:val="28"/>
                <w:lang w:eastAsia="en-GB"/>
              </w:rPr>
              <w:t>= 115</w:t>
            </w:r>
          </w:p>
        </w:tc>
        <w:tc>
          <w:tcPr>
            <w:tcW w:w="452" w:type="dxa"/>
            <w:shd w:val="clear" w:color="auto" w:fill="auto"/>
            <w:vAlign w:val="center"/>
          </w:tcPr>
          <w:p w:rsidR="00E26342" w:rsidRDefault="00040788">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E26342" w:rsidRDefault="00040788">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Complaints open at end-2017</w:t>
            </w:r>
          </w:p>
        </w:tc>
      </w:tr>
    </w:tbl>
    <w:p w:rsidR="00E26342" w:rsidRDefault="00040788">
      <w:pPr>
        <w:pStyle w:val="AnnualReport2"/>
        <w:numPr>
          <w:ilvl w:val="0"/>
          <w:numId w:val="150"/>
        </w:numPr>
        <w:ind w:left="709" w:hanging="425"/>
        <w:rPr>
          <w:noProof/>
        </w:rPr>
      </w:pPr>
      <w:r>
        <w:rPr>
          <w:noProof/>
        </w:rPr>
        <w:t>New complaints registered in 2017: main</w:t>
      </w:r>
      <w:r>
        <w:rPr>
          <w:noProof/>
        </w:rPr>
        <w:t xml:space="preserve"> policy areas</w:t>
      </w:r>
    </w:p>
    <w:p w:rsidR="00E26342" w:rsidRDefault="00040788">
      <w:pPr>
        <w:spacing w:after="120"/>
        <w:ind w:firstLine="709"/>
        <w:rPr>
          <w:rFonts w:ascii="Arial" w:hAnsi="Arial" w:cs="Arial"/>
          <w:noProof/>
          <w:sz w:val="20"/>
        </w:rPr>
      </w:pPr>
      <w:r>
        <w:rPr>
          <w:rFonts w:ascii="Arial" w:hAnsi="Arial" w:cs="Arial"/>
          <w:noProof/>
          <w:sz w:val="20"/>
          <w:lang w:eastAsia="en-GB"/>
        </w:rPr>
        <w:drawing>
          <wp:inline distT="0" distB="0" distL="0" distR="0" wp14:anchorId="53160997" wp14:editId="0F7ADA99">
            <wp:extent cx="4627880" cy="2305685"/>
            <wp:effectExtent l="0" t="0" r="20320" b="18415"/>
            <wp:docPr id="289" name="Grafiek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inline>
        </w:drawing>
      </w:r>
    </w:p>
    <w:p w:rsidR="00E26342" w:rsidRDefault="00040788">
      <w:pPr>
        <w:spacing w:after="200" w:line="276" w:lineRule="auto"/>
        <w:jc w:val="left"/>
        <w:rPr>
          <w:rFonts w:ascii="Arial" w:eastAsia="MS Gothic" w:hAnsi="Arial" w:cs="Arial"/>
          <w:caps/>
          <w:noProof/>
          <w:color w:val="4F81BD"/>
          <w:kern w:val="20"/>
          <w:szCs w:val="24"/>
        </w:rPr>
      </w:pPr>
      <w:r>
        <w:rPr>
          <w:rFonts w:ascii="Arial" w:eastAsia="MS Gothic" w:hAnsi="Arial" w:cs="Arial"/>
          <w:caps/>
          <w:noProof/>
          <w:color w:val="4F81BD"/>
          <w:kern w:val="20"/>
          <w:szCs w:val="24"/>
        </w:rPr>
        <w:br w:type="page"/>
      </w:r>
    </w:p>
    <w:p w:rsidR="00E26342" w:rsidRDefault="00040788">
      <w:pPr>
        <w:pStyle w:val="kop2"/>
        <w:numPr>
          <w:ilvl w:val="0"/>
          <w:numId w:val="3"/>
        </w:numPr>
        <w:spacing w:before="360" w:after="240"/>
        <w:ind w:left="357" w:hanging="357"/>
        <w:rPr>
          <w:noProof/>
        </w:rPr>
      </w:pPr>
      <w:r>
        <w:rPr>
          <w:noProof/>
        </w:rPr>
        <w:t>EU PILOT</w:t>
      </w:r>
    </w:p>
    <w:p w:rsidR="00E26342" w:rsidRDefault="00040788">
      <w:pPr>
        <w:pStyle w:val="AnnualReport2"/>
        <w:numPr>
          <w:ilvl w:val="0"/>
          <w:numId w:val="151"/>
        </w:numPr>
        <w:ind w:left="709" w:hanging="425"/>
        <w:rPr>
          <w:noProof/>
        </w:rPr>
      </w:pPr>
      <w:r>
        <w:rPr>
          <w:noProof/>
        </w:rPr>
        <w:t>New EU Pilot files opened against Sweden (2013-2017)</w:t>
      </w:r>
    </w:p>
    <w:p w:rsidR="00E26342" w:rsidRDefault="00040788">
      <w:pPr>
        <w:tabs>
          <w:tab w:val="left" w:pos="0"/>
        </w:tabs>
        <w:ind w:firstLine="709"/>
        <w:rPr>
          <w:rFonts w:ascii="Arial" w:hAnsi="Arial" w:cs="Arial"/>
          <w:noProof/>
          <w:sz w:val="20"/>
        </w:rPr>
      </w:pPr>
      <w:r>
        <w:rPr>
          <w:rFonts w:ascii="Arial" w:hAnsi="Arial" w:cs="Arial"/>
          <w:noProof/>
          <w:sz w:val="20"/>
          <w:lang w:eastAsia="en-GB"/>
        </w:rPr>
        <w:drawing>
          <wp:inline distT="0" distB="0" distL="0" distR="0" wp14:anchorId="7720D2E8" wp14:editId="4147F861">
            <wp:extent cx="4580255" cy="2202815"/>
            <wp:effectExtent l="0" t="0" r="10795" b="26035"/>
            <wp:docPr id="290"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8"/>
              </a:graphicData>
            </a:graphic>
          </wp:inline>
        </w:drawing>
      </w:r>
    </w:p>
    <w:p w:rsidR="00E26342" w:rsidRDefault="00040788">
      <w:pPr>
        <w:pStyle w:val="AnnualReport2"/>
        <w:numPr>
          <w:ilvl w:val="0"/>
          <w:numId w:val="151"/>
        </w:numPr>
        <w:ind w:left="709" w:hanging="425"/>
        <w:rPr>
          <w:noProof/>
        </w:rPr>
      </w:pPr>
      <w:r>
        <w:rPr>
          <w:noProof/>
        </w:rPr>
        <w:t>Files relating to Sweden open in EU Pilot at year-end</w:t>
      </w:r>
    </w:p>
    <w:p w:rsidR="00E26342" w:rsidRDefault="00040788">
      <w:pPr>
        <w:spacing w:after="120"/>
        <w:ind w:firstLine="709"/>
        <w:rPr>
          <w:rFonts w:ascii="Arial" w:hAnsi="Arial" w:cs="Arial"/>
          <w:noProof/>
          <w:sz w:val="20"/>
        </w:rPr>
      </w:pPr>
      <w:r>
        <w:rPr>
          <w:rFonts w:ascii="Arial" w:hAnsi="Arial" w:cs="Arial"/>
          <w:noProof/>
          <w:sz w:val="20"/>
          <w:lang w:eastAsia="en-GB"/>
        </w:rPr>
        <w:drawing>
          <wp:inline distT="0" distB="0" distL="0" distR="0" wp14:anchorId="011082E0" wp14:editId="7179727C">
            <wp:extent cx="4580255" cy="2202815"/>
            <wp:effectExtent l="0" t="0" r="10795" b="26035"/>
            <wp:docPr id="291"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9"/>
              </a:graphicData>
            </a:graphic>
          </wp:inline>
        </w:drawing>
      </w:r>
    </w:p>
    <w:p w:rsidR="00E26342" w:rsidRDefault="00040788">
      <w:pPr>
        <w:pStyle w:val="AnnualReport2"/>
        <w:numPr>
          <w:ilvl w:val="0"/>
          <w:numId w:val="151"/>
        </w:numPr>
        <w:ind w:left="709" w:hanging="425"/>
        <w:rPr>
          <w:noProof/>
        </w:rPr>
      </w:pPr>
      <w:r>
        <w:rPr>
          <w:noProof/>
        </w:rPr>
        <w:t>New EU Pilot files opened in 2017: policy areas</w:t>
      </w:r>
    </w:p>
    <w:p w:rsidR="00E26342" w:rsidRDefault="00040788">
      <w:pPr>
        <w:spacing w:after="120"/>
        <w:ind w:firstLine="709"/>
        <w:rPr>
          <w:rFonts w:ascii="Arial" w:hAnsi="Arial" w:cs="Arial"/>
          <w:noProof/>
          <w:sz w:val="20"/>
        </w:rPr>
      </w:pPr>
      <w:r>
        <w:rPr>
          <w:rFonts w:ascii="Arial" w:hAnsi="Arial" w:cs="Arial"/>
          <w:noProof/>
          <w:sz w:val="20"/>
          <w:lang w:eastAsia="en-GB"/>
        </w:rPr>
        <w:drawing>
          <wp:inline distT="0" distB="0" distL="0" distR="0" wp14:anchorId="5B29F835" wp14:editId="7423E38A">
            <wp:extent cx="4643755" cy="2433320"/>
            <wp:effectExtent l="0" t="0" r="23495" b="24130"/>
            <wp:docPr id="292" name="Grafiek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0"/>
              </a:graphicData>
            </a:graphic>
          </wp:inline>
        </w:drawing>
      </w:r>
    </w:p>
    <w:p w:rsidR="00E26342" w:rsidRDefault="00040788">
      <w:pPr>
        <w:pStyle w:val="AnnualReport2"/>
        <w:numPr>
          <w:ilvl w:val="0"/>
          <w:numId w:val="151"/>
        </w:numPr>
        <w:ind w:left="709" w:hanging="425"/>
        <w:rPr>
          <w:noProof/>
          <w:sz w:val="20"/>
        </w:rPr>
      </w:pPr>
      <w:r>
        <w:rPr>
          <w:noProof/>
        </w:rPr>
        <w:br w:type="page"/>
        <w:t>EU Pilot files: Sweden’s resolution rate in 2013-2017</w:t>
      </w:r>
    </w:p>
    <w:p w:rsidR="00E26342" w:rsidRDefault="00040788">
      <w:pPr>
        <w:spacing w:after="120"/>
        <w:ind w:firstLine="709"/>
        <w:rPr>
          <w:rFonts w:ascii="Arial" w:hAnsi="Arial" w:cs="Arial"/>
          <w:noProof/>
          <w:sz w:val="20"/>
        </w:rPr>
      </w:pPr>
      <w:r>
        <w:rPr>
          <w:rFonts w:ascii="Arial" w:hAnsi="Arial" w:cs="Arial"/>
          <w:noProof/>
          <w:sz w:val="20"/>
          <w:lang w:eastAsia="en-GB"/>
        </w:rPr>
        <w:drawing>
          <wp:inline distT="0" distB="0" distL="0" distR="0" wp14:anchorId="1FDD209E" wp14:editId="01390E11">
            <wp:extent cx="4643755" cy="2361565"/>
            <wp:effectExtent l="0" t="0" r="23495" b="19685"/>
            <wp:docPr id="293"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1"/>
              </a:graphicData>
            </a:graphic>
          </wp:inline>
        </w:drawing>
      </w:r>
    </w:p>
    <w:p w:rsidR="00E26342" w:rsidRDefault="00040788">
      <w:pPr>
        <w:pStyle w:val="kop2"/>
        <w:numPr>
          <w:ilvl w:val="0"/>
          <w:numId w:val="3"/>
        </w:numPr>
        <w:spacing w:before="360" w:after="240"/>
        <w:ind w:left="709" w:hanging="425"/>
        <w:rPr>
          <w:caps w:val="0"/>
          <w:noProof/>
        </w:rPr>
      </w:pPr>
      <w:r>
        <w:rPr>
          <w:noProof/>
        </w:rPr>
        <w:t xml:space="preserve">INFRINGEMENT </w:t>
      </w:r>
      <w:r>
        <w:rPr>
          <w:caps w:val="0"/>
          <w:noProof/>
        </w:rPr>
        <w:t>CASES</w:t>
      </w:r>
    </w:p>
    <w:p w:rsidR="00E26342" w:rsidRDefault="00040788">
      <w:pPr>
        <w:pStyle w:val="AnnualReport2"/>
        <w:numPr>
          <w:ilvl w:val="0"/>
          <w:numId w:val="152"/>
        </w:numPr>
        <w:ind w:left="709" w:hanging="425"/>
        <w:rPr>
          <w:noProof/>
        </w:rPr>
      </w:pPr>
      <w:r>
        <w:rPr>
          <w:noProof/>
        </w:rPr>
        <w:t>Infringement cases against Sweden open on 31 December (2013-2017)</w:t>
      </w:r>
    </w:p>
    <w:p w:rsidR="00E26342" w:rsidRDefault="00040788">
      <w:pPr>
        <w:spacing w:after="120"/>
        <w:ind w:firstLine="709"/>
        <w:rPr>
          <w:rFonts w:ascii="Arial" w:hAnsi="Arial" w:cs="Arial"/>
          <w:noProof/>
          <w:sz w:val="20"/>
        </w:rPr>
      </w:pPr>
      <w:r>
        <w:rPr>
          <w:rFonts w:ascii="Arial" w:hAnsi="Arial" w:cs="Arial"/>
          <w:noProof/>
          <w:sz w:val="20"/>
          <w:lang w:eastAsia="en-GB"/>
        </w:rPr>
        <w:drawing>
          <wp:inline distT="0" distB="0" distL="0" distR="0" wp14:anchorId="04DD4C4A" wp14:editId="38C46982">
            <wp:extent cx="4594860" cy="2225040"/>
            <wp:effectExtent l="0" t="0" r="15240" b="22860"/>
            <wp:docPr id="294" name="Grafiek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2"/>
              </a:graphicData>
            </a:graphic>
          </wp:inline>
        </w:drawing>
      </w:r>
    </w:p>
    <w:p w:rsidR="00E26342" w:rsidRDefault="00040788">
      <w:pPr>
        <w:pStyle w:val="AnnualReport2"/>
        <w:numPr>
          <w:ilvl w:val="0"/>
          <w:numId w:val="152"/>
        </w:numPr>
        <w:ind w:left="709" w:hanging="425"/>
        <w:rPr>
          <w:noProof/>
        </w:rPr>
      </w:pPr>
      <w:r>
        <w:rPr>
          <w:noProof/>
        </w:rPr>
        <w:t>New infringement cases opened in 2017: main policy areas</w:t>
      </w:r>
    </w:p>
    <w:p w:rsidR="00E26342" w:rsidRDefault="00040788">
      <w:pPr>
        <w:spacing w:after="120"/>
        <w:ind w:firstLine="709"/>
        <w:rPr>
          <w:rFonts w:ascii="Arial" w:hAnsi="Arial" w:cs="Arial"/>
          <w:noProof/>
          <w:sz w:val="20"/>
        </w:rPr>
      </w:pPr>
      <w:r>
        <w:rPr>
          <w:rFonts w:ascii="Arial" w:hAnsi="Arial" w:cs="Arial"/>
          <w:noProof/>
          <w:sz w:val="20"/>
          <w:lang w:eastAsia="en-GB"/>
        </w:rPr>
        <w:drawing>
          <wp:inline distT="0" distB="0" distL="0" distR="0" wp14:anchorId="62106F29" wp14:editId="2B8572B4">
            <wp:extent cx="4579620" cy="2301240"/>
            <wp:effectExtent l="0" t="0" r="11430" b="22860"/>
            <wp:docPr id="295" name="Object 29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3"/>
              </a:graphicData>
            </a:graphic>
          </wp:inline>
        </w:drawing>
      </w:r>
    </w:p>
    <w:p w:rsidR="00E26342" w:rsidRDefault="00040788">
      <w:pPr>
        <w:pStyle w:val="AnnualReport2"/>
        <w:numPr>
          <w:ilvl w:val="0"/>
          <w:numId w:val="152"/>
        </w:numPr>
        <w:ind w:left="709" w:hanging="425"/>
        <w:rPr>
          <w:noProof/>
        </w:rPr>
      </w:pPr>
      <w:r>
        <w:rPr>
          <w:noProof/>
        </w:rPr>
        <w:t>Key infringement cases and referrals to the Court</w:t>
      </w:r>
    </w:p>
    <w:p w:rsidR="00E26342" w:rsidRDefault="00040788">
      <w:pPr>
        <w:pStyle w:val="Lijstje"/>
        <w:numPr>
          <w:ilvl w:val="0"/>
          <w:numId w:val="47"/>
        </w:numPr>
        <w:ind w:left="1276" w:hanging="425"/>
        <w:rPr>
          <w:noProof/>
        </w:rPr>
      </w:pPr>
      <w:r>
        <w:rPr>
          <w:noProof/>
        </w:rPr>
        <w:t>The Commission opened 19 new infringement cases against Swed</w:t>
      </w:r>
      <w:r>
        <w:rPr>
          <w:noProof/>
        </w:rPr>
        <w:t>en in 2017. These, and other major ongoing infringement cases, include:</w:t>
      </w:r>
    </w:p>
    <w:p w:rsidR="00E26342" w:rsidRDefault="00040788">
      <w:pPr>
        <w:pStyle w:val="Lijstje2"/>
        <w:spacing w:after="200"/>
        <w:ind w:left="1843" w:hanging="426"/>
        <w:rPr>
          <w:rFonts w:ascii="Arial" w:hAnsi="Arial" w:cs="Arial"/>
          <w:noProof/>
          <w:lang w:val="en-GB"/>
        </w:rPr>
      </w:pPr>
      <w:r>
        <w:rPr>
          <w:rFonts w:ascii="Arial" w:hAnsi="Arial" w:cs="Arial"/>
          <w:noProof/>
          <w:lang w:val="en-GB"/>
        </w:rPr>
        <w:t>failure to comply with reporting obligations under EU waste legislation</w:t>
      </w:r>
      <w:r>
        <w:rPr>
          <w:rStyle w:val="FootnoteReference"/>
          <w:rFonts w:ascii="Arial" w:hAnsi="Arial" w:cs="Arial"/>
          <w:noProof/>
          <w:lang w:val="en-GB"/>
        </w:rPr>
        <w:footnoteReference w:id="305"/>
      </w:r>
      <w:r>
        <w:rPr>
          <w:rFonts w:ascii="Arial" w:hAnsi="Arial" w:cs="Arial"/>
          <w:noProof/>
          <w:lang w:val="en-GB"/>
        </w:rPr>
        <w:t>;</w:t>
      </w:r>
    </w:p>
    <w:p w:rsidR="00E26342" w:rsidRDefault="00040788">
      <w:pPr>
        <w:pStyle w:val="Lijstje2"/>
        <w:spacing w:after="200"/>
        <w:ind w:left="1843" w:hanging="426"/>
        <w:rPr>
          <w:rFonts w:ascii="Arial" w:hAnsi="Arial" w:cs="Arial"/>
          <w:noProof/>
          <w:lang w:val="en-GB"/>
        </w:rPr>
      </w:pPr>
      <w:r>
        <w:rPr>
          <w:rFonts w:ascii="Arial" w:hAnsi="Arial" w:cs="Arial"/>
          <w:noProof/>
          <w:lang w:val="en-GB"/>
        </w:rPr>
        <w:t xml:space="preserve">incorrect transposition and implementation of the Third Energy Package Directives (Electricity and Gas </w:t>
      </w:r>
      <w:r>
        <w:rPr>
          <w:rFonts w:ascii="Arial" w:hAnsi="Arial" w:cs="Arial"/>
          <w:noProof/>
          <w:lang w:val="en-GB"/>
        </w:rPr>
        <w:t>Directives)</w:t>
      </w:r>
      <w:r>
        <w:rPr>
          <w:rStyle w:val="FootnoteReference"/>
          <w:noProof/>
        </w:rPr>
        <w:footnoteReference w:id="306"/>
      </w:r>
      <w:r>
        <w:rPr>
          <w:rFonts w:ascii="Arial" w:hAnsi="Arial" w:cs="Arial"/>
          <w:noProof/>
          <w:lang w:val="en-GB"/>
        </w:rPr>
        <w:t>;</w:t>
      </w:r>
    </w:p>
    <w:p w:rsidR="00E26342" w:rsidRDefault="00040788">
      <w:pPr>
        <w:pStyle w:val="Lijstje2"/>
        <w:spacing w:after="200"/>
        <w:ind w:left="1843" w:hanging="426"/>
        <w:rPr>
          <w:rFonts w:ascii="Arial" w:hAnsi="Arial" w:cs="Arial"/>
          <w:noProof/>
          <w:lang w:val="en-GB"/>
        </w:rPr>
      </w:pPr>
      <w:r>
        <w:rPr>
          <w:rFonts w:ascii="Arial" w:hAnsi="Arial" w:cs="Arial"/>
          <w:noProof/>
          <w:lang w:val="en-GB"/>
        </w:rPr>
        <w:t>failure to ensure that urban waste water is adequately treated;</w:t>
      </w:r>
    </w:p>
    <w:p w:rsidR="00E26342" w:rsidRDefault="00040788">
      <w:pPr>
        <w:pStyle w:val="Lijstje2"/>
        <w:spacing w:after="200"/>
        <w:ind w:left="1843" w:hanging="426"/>
        <w:rPr>
          <w:rFonts w:ascii="Arial" w:hAnsi="Arial" w:cs="Arial"/>
          <w:noProof/>
          <w:lang w:val="en-GB"/>
        </w:rPr>
      </w:pPr>
      <w:r>
        <w:rPr>
          <w:rFonts w:ascii="Arial" w:hAnsi="Arial" w:cs="Arial"/>
          <w:noProof/>
          <w:lang w:val="en-GB"/>
        </w:rPr>
        <w:t>non-communication of national measures transposing the:</w:t>
      </w:r>
    </w:p>
    <w:p w:rsidR="00E26342" w:rsidRDefault="00040788">
      <w:pPr>
        <w:pStyle w:val="Lijstje2"/>
        <w:numPr>
          <w:ilvl w:val="2"/>
          <w:numId w:val="2"/>
        </w:numPr>
        <w:spacing w:after="200"/>
        <w:ind w:left="2410" w:hanging="425"/>
        <w:rPr>
          <w:rFonts w:ascii="Arial" w:hAnsi="Arial" w:cs="Arial"/>
          <w:noProof/>
          <w:lang w:val="en-GB"/>
        </w:rPr>
      </w:pPr>
      <w:r>
        <w:rPr>
          <w:rFonts w:ascii="Arial" w:hAnsi="Arial" w:cs="Arial"/>
          <w:noProof/>
          <w:lang w:val="en-GB"/>
        </w:rPr>
        <w:t>Markets in Financial Instruments Directive (MiFID II)</w:t>
      </w:r>
      <w:r>
        <w:rPr>
          <w:rStyle w:val="FootnoteReference"/>
          <w:rFonts w:ascii="Arial" w:hAnsi="Arial" w:cs="Arial"/>
          <w:noProof/>
          <w:lang w:val="en-GB"/>
        </w:rPr>
        <w:footnoteReference w:id="307"/>
      </w:r>
      <w:r>
        <w:rPr>
          <w:rFonts w:ascii="Arial" w:hAnsi="Arial" w:cs="Arial"/>
          <w:noProof/>
          <w:lang w:val="en-GB"/>
        </w:rPr>
        <w:t>;</w:t>
      </w:r>
    </w:p>
    <w:p w:rsidR="00E26342" w:rsidRDefault="00040788">
      <w:pPr>
        <w:pStyle w:val="Lijstje2"/>
        <w:numPr>
          <w:ilvl w:val="2"/>
          <w:numId w:val="2"/>
        </w:numPr>
        <w:spacing w:after="200"/>
        <w:ind w:left="2410" w:hanging="425"/>
        <w:rPr>
          <w:rFonts w:ascii="Arial" w:hAnsi="Arial" w:cs="Arial"/>
          <w:noProof/>
          <w:lang w:val="en-GB"/>
        </w:rPr>
      </w:pPr>
      <w:r>
        <w:rPr>
          <w:rFonts w:ascii="Arial" w:hAnsi="Arial" w:cs="Arial"/>
          <w:noProof/>
          <w:lang w:val="en-GB"/>
        </w:rPr>
        <w:t>Directive</w:t>
      </w:r>
      <w:r>
        <w:rPr>
          <w:rStyle w:val="FootnoteReference"/>
          <w:rFonts w:ascii="Arial" w:hAnsi="Arial" w:cs="Arial"/>
          <w:noProof/>
          <w:lang w:val="en-GB"/>
        </w:rPr>
        <w:footnoteReference w:id="308"/>
      </w:r>
      <w:r>
        <w:rPr>
          <w:rFonts w:ascii="Arial" w:hAnsi="Arial" w:cs="Arial"/>
          <w:noProof/>
          <w:lang w:val="en-GB"/>
        </w:rPr>
        <w:t xml:space="preserve"> laying down calculation methods and reporting requirements pursuant to the Directive on fuels quality</w:t>
      </w:r>
      <w:r>
        <w:rPr>
          <w:rStyle w:val="FootnoteReference"/>
          <w:rFonts w:ascii="Arial" w:hAnsi="Arial" w:cs="Arial"/>
          <w:noProof/>
          <w:lang w:val="en-GB"/>
        </w:rPr>
        <w:footnoteReference w:id="309"/>
      </w:r>
      <w:r>
        <w:rPr>
          <w:rFonts w:ascii="Arial" w:hAnsi="Arial" w:cs="Arial"/>
          <w:noProof/>
          <w:lang w:val="en-GB"/>
        </w:rPr>
        <w:t>;</w:t>
      </w:r>
    </w:p>
    <w:p w:rsidR="00E26342" w:rsidRDefault="00040788">
      <w:pPr>
        <w:pStyle w:val="Lijstje2"/>
        <w:numPr>
          <w:ilvl w:val="2"/>
          <w:numId w:val="2"/>
        </w:numPr>
        <w:spacing w:after="200"/>
        <w:ind w:left="2410" w:hanging="425"/>
        <w:rPr>
          <w:rFonts w:ascii="Arial" w:hAnsi="Arial" w:cs="Arial"/>
          <w:noProof/>
          <w:lang w:val="en-GB"/>
        </w:rPr>
      </w:pPr>
      <w:r>
        <w:rPr>
          <w:rFonts w:ascii="Arial" w:hAnsi="Arial" w:cs="Arial"/>
          <w:noProof/>
          <w:lang w:val="en-GB"/>
        </w:rPr>
        <w:t>Directive on intra-corporate transfers and on seasonal workers</w:t>
      </w:r>
      <w:r>
        <w:rPr>
          <w:rStyle w:val="FootnoteReference"/>
          <w:rFonts w:ascii="Arial" w:hAnsi="Arial" w:cs="Arial"/>
          <w:noProof/>
          <w:lang w:val="en-GB"/>
        </w:rPr>
        <w:footnoteReference w:id="310"/>
      </w:r>
      <w:r>
        <w:rPr>
          <w:rFonts w:ascii="Arial" w:hAnsi="Arial" w:cs="Arial"/>
          <w:noProof/>
          <w:lang w:val="en-GB"/>
        </w:rPr>
        <w:t>.</w:t>
      </w:r>
    </w:p>
    <w:p w:rsidR="00E26342" w:rsidRDefault="00040788">
      <w:pPr>
        <w:pStyle w:val="Lijstje"/>
        <w:numPr>
          <w:ilvl w:val="0"/>
          <w:numId w:val="4"/>
        </w:numPr>
        <w:ind w:left="1276" w:hanging="425"/>
        <w:rPr>
          <w:noProof/>
        </w:rPr>
      </w:pPr>
      <w:r>
        <w:rPr>
          <w:noProof/>
        </w:rPr>
        <w:t>The Commission did not refer any cases to the Court under Article 258 TFEU.</w:t>
      </w:r>
    </w:p>
    <w:p w:rsidR="00E26342" w:rsidRDefault="00040788">
      <w:pPr>
        <w:pStyle w:val="Lijstje"/>
        <w:numPr>
          <w:ilvl w:val="0"/>
          <w:numId w:val="4"/>
        </w:numPr>
        <w:ind w:left="1276" w:hanging="425"/>
        <w:rPr>
          <w:noProof/>
        </w:rPr>
      </w:pPr>
      <w:r>
        <w:rPr>
          <w:noProof/>
        </w:rPr>
        <w:t>The Commis</w:t>
      </w:r>
      <w:r>
        <w:rPr>
          <w:noProof/>
        </w:rPr>
        <w:t>sion did not refer any cases to the Court under Article 260(2) TFEU.</w:t>
      </w:r>
    </w:p>
    <w:p w:rsidR="00E26342" w:rsidRDefault="00040788">
      <w:pPr>
        <w:pStyle w:val="kop2"/>
        <w:numPr>
          <w:ilvl w:val="0"/>
          <w:numId w:val="3"/>
        </w:numPr>
        <w:spacing w:before="360" w:after="240"/>
        <w:ind w:left="709" w:hanging="425"/>
        <w:rPr>
          <w:caps w:val="0"/>
          <w:noProof/>
        </w:rPr>
      </w:pPr>
      <w:r>
        <w:rPr>
          <w:noProof/>
        </w:rPr>
        <w:t>TRANSPOSITION OF DIRECTIVES</w:t>
      </w:r>
    </w:p>
    <w:p w:rsidR="00E26342" w:rsidRDefault="00040788">
      <w:pPr>
        <w:pStyle w:val="AnnualReport2"/>
        <w:numPr>
          <w:ilvl w:val="0"/>
          <w:numId w:val="153"/>
        </w:numPr>
        <w:ind w:left="709" w:hanging="425"/>
        <w:rPr>
          <w:noProof/>
        </w:rPr>
      </w:pPr>
      <w:r>
        <w:rPr>
          <w:noProof/>
        </w:rPr>
        <w:t>Late transposition infringement cases against Sweden open on 31 December (2013-2017)</w:t>
      </w:r>
    </w:p>
    <w:p w:rsidR="00E26342" w:rsidRDefault="00040788">
      <w:pPr>
        <w:pStyle w:val="Body"/>
        <w:rPr>
          <w:noProof/>
          <w:lang w:val="en-GB"/>
        </w:rPr>
      </w:pPr>
      <w:r>
        <w:rPr>
          <w:noProof/>
          <w:lang w:val="en-GB" w:eastAsia="en-GB"/>
        </w:rPr>
        <w:drawing>
          <wp:inline distT="0" distB="0" distL="0" distR="0" wp14:anchorId="398E3211" wp14:editId="1F238561">
            <wp:extent cx="4572000" cy="2313940"/>
            <wp:effectExtent l="0" t="0" r="0" b="0"/>
            <wp:docPr id="296"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4"/>
              </a:graphicData>
            </a:graphic>
          </wp:inline>
        </w:drawing>
      </w:r>
    </w:p>
    <w:p w:rsidR="00E26342" w:rsidRDefault="00040788">
      <w:pPr>
        <w:spacing w:after="0"/>
        <w:jc w:val="left"/>
        <w:rPr>
          <w:rFonts w:ascii="Arial" w:hAnsi="Arial" w:cs="Arial"/>
          <w:noProof/>
          <w:sz w:val="20"/>
        </w:rPr>
      </w:pPr>
      <w:r>
        <w:rPr>
          <w:noProof/>
        </w:rPr>
        <w:br w:type="page"/>
      </w:r>
    </w:p>
    <w:p w:rsidR="00E26342" w:rsidRDefault="00040788">
      <w:pPr>
        <w:pStyle w:val="AnnualReport2"/>
        <w:numPr>
          <w:ilvl w:val="0"/>
          <w:numId w:val="153"/>
        </w:numPr>
        <w:ind w:left="709" w:hanging="425"/>
        <w:rPr>
          <w:noProof/>
        </w:rPr>
      </w:pPr>
      <w:r>
        <w:rPr>
          <w:noProof/>
        </w:rPr>
        <w:t>New late transposition infringement cases against Sweden (2013-2017)</w:t>
      </w:r>
    </w:p>
    <w:p w:rsidR="00E26342" w:rsidRDefault="00040788">
      <w:pPr>
        <w:spacing w:after="0"/>
        <w:ind w:firstLine="709"/>
        <w:contextualSpacing/>
        <w:rPr>
          <w:noProof/>
        </w:rPr>
      </w:pPr>
      <w:r>
        <w:rPr>
          <w:noProof/>
          <w:sz w:val="20"/>
          <w:lang w:eastAsia="en-GB"/>
        </w:rPr>
        <w:drawing>
          <wp:inline distT="0" distB="0" distL="0" distR="0" wp14:anchorId="30C08D7E" wp14:editId="6600D78A">
            <wp:extent cx="4572000" cy="2282190"/>
            <wp:effectExtent l="0" t="0" r="0" b="0"/>
            <wp:docPr id="297"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5"/>
              </a:graphicData>
            </a:graphic>
          </wp:inline>
        </w:drawing>
      </w:r>
    </w:p>
    <w:p w:rsidR="00E26342" w:rsidRDefault="00040788">
      <w:pPr>
        <w:pStyle w:val="AnnualReport2"/>
        <w:numPr>
          <w:ilvl w:val="0"/>
          <w:numId w:val="153"/>
        </w:numPr>
        <w:spacing w:after="120"/>
        <w:ind w:left="709" w:hanging="425"/>
        <w:rPr>
          <w:noProof/>
        </w:rPr>
      </w:pPr>
      <w:r>
        <w:rPr>
          <w:noProof/>
        </w:rPr>
        <w:t>New late transposition infringement cases opened in 2017: main policy area</w:t>
      </w:r>
      <w:r>
        <w:rPr>
          <w:b/>
          <w:noProof/>
        </w:rPr>
        <w:t>s</w:t>
      </w:r>
    </w:p>
    <w:p w:rsidR="00E26342" w:rsidRDefault="00040788">
      <w:pPr>
        <w:spacing w:after="120"/>
        <w:ind w:firstLine="709"/>
        <w:rPr>
          <w:rFonts w:ascii="Arial" w:hAnsi="Arial" w:cs="Arial"/>
          <w:noProof/>
          <w:sz w:val="20"/>
        </w:rPr>
      </w:pPr>
      <w:r>
        <w:rPr>
          <w:rFonts w:ascii="Arial" w:hAnsi="Arial" w:cs="Arial"/>
          <w:noProof/>
          <w:sz w:val="20"/>
          <w:lang w:eastAsia="en-GB"/>
        </w:rPr>
        <w:drawing>
          <wp:inline distT="0" distB="0" distL="0" distR="0" wp14:anchorId="4959AEE3" wp14:editId="10970792">
            <wp:extent cx="4580255" cy="2393315"/>
            <wp:effectExtent l="0" t="0" r="10795" b="26035"/>
            <wp:docPr id="298" name="Object 29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6"/>
              </a:graphicData>
            </a:graphic>
          </wp:inline>
        </w:drawing>
      </w:r>
    </w:p>
    <w:p w:rsidR="00E26342" w:rsidRDefault="00040788">
      <w:pPr>
        <w:pStyle w:val="AnnualReport2"/>
        <w:numPr>
          <w:ilvl w:val="0"/>
          <w:numId w:val="153"/>
        </w:numPr>
        <w:spacing w:before="360"/>
        <w:ind w:left="709" w:hanging="425"/>
        <w:rPr>
          <w:noProof/>
        </w:rPr>
      </w:pPr>
      <w:r>
        <w:rPr>
          <w:noProof/>
        </w:rPr>
        <w:t>Referrals to the Court</w:t>
      </w:r>
    </w:p>
    <w:p w:rsidR="00E26342" w:rsidRDefault="00040788">
      <w:pPr>
        <w:spacing w:after="120"/>
        <w:ind w:left="709"/>
        <w:rPr>
          <w:rFonts w:ascii="Arial" w:eastAsia="Calibri" w:hAnsi="Arial" w:cs="Arial"/>
          <w:noProof/>
          <w:kern w:val="20"/>
          <w:sz w:val="20"/>
        </w:rPr>
      </w:pPr>
      <w:r>
        <w:rPr>
          <w:rFonts w:ascii="Arial" w:eastAsia="Calibri" w:hAnsi="Arial" w:cs="Arial"/>
          <w:noProof/>
          <w:kern w:val="20"/>
          <w:sz w:val="20"/>
        </w:rPr>
        <w:t>The Commission did not refer any cases to the Court under Articles 258 and 260(3) TFEU.</w:t>
      </w:r>
    </w:p>
    <w:p w:rsidR="00E26342" w:rsidRDefault="00040788">
      <w:pPr>
        <w:pStyle w:val="kop2"/>
        <w:numPr>
          <w:ilvl w:val="0"/>
          <w:numId w:val="3"/>
        </w:numPr>
        <w:spacing w:before="360" w:after="240"/>
        <w:ind w:left="709" w:hanging="425"/>
        <w:rPr>
          <w:caps w:val="0"/>
          <w:noProof/>
        </w:rPr>
      </w:pPr>
      <w:r>
        <w:rPr>
          <w:noProof/>
        </w:rPr>
        <w:t xml:space="preserve">EARLY RESOLUTION </w:t>
      </w:r>
      <w:r>
        <w:rPr>
          <w:caps w:val="0"/>
          <w:noProof/>
        </w:rPr>
        <w:t>OF INFRINGEMENT CASES</w:t>
      </w:r>
    </w:p>
    <w:p w:rsidR="00E26342" w:rsidRDefault="00040788">
      <w:pPr>
        <w:pStyle w:val="AnnualReport2"/>
        <w:spacing w:before="360"/>
        <w:ind w:left="709" w:firstLine="0"/>
        <w:rPr>
          <w:noProof/>
        </w:rPr>
      </w:pPr>
      <w:r>
        <w:rPr>
          <w:noProof/>
        </w:rPr>
        <w:t xml:space="preserve">Major cases closed without </w:t>
      </w:r>
      <w:r>
        <w:rPr>
          <w:noProof/>
        </w:rPr>
        <w:t>a Court judgment in 2017</w:t>
      </w:r>
    </w:p>
    <w:p w:rsidR="00E26342" w:rsidRDefault="00040788">
      <w:pPr>
        <w:spacing w:after="120"/>
        <w:ind w:firstLine="709"/>
        <w:rPr>
          <w:rFonts w:ascii="Arial" w:hAnsi="Arial" w:cs="Arial"/>
          <w:noProof/>
          <w:sz w:val="20"/>
        </w:rPr>
      </w:pPr>
      <w:r>
        <w:rPr>
          <w:rFonts w:ascii="Arial" w:hAnsi="Arial" w:cs="Arial"/>
          <w:noProof/>
          <w:sz w:val="20"/>
        </w:rPr>
        <w:t>These concerned:</w:t>
      </w:r>
    </w:p>
    <w:p w:rsidR="00E26342" w:rsidRDefault="00040788">
      <w:pPr>
        <w:pStyle w:val="Lijstje2"/>
        <w:ind w:left="1843" w:hanging="425"/>
        <w:rPr>
          <w:rFonts w:ascii="Arial" w:hAnsi="Arial" w:cs="Arial"/>
          <w:noProof/>
          <w:lang w:val="en-GB" w:eastAsia="en-GB"/>
        </w:rPr>
      </w:pPr>
      <w:r>
        <w:rPr>
          <w:rFonts w:ascii="Arial" w:hAnsi="Arial" w:cs="Arial"/>
          <w:noProof/>
          <w:lang w:val="en-GB" w:eastAsia="en-GB"/>
        </w:rPr>
        <w:t>incorrect transposition of certain requirements of the Directive on the energy performance of buildings</w:t>
      </w:r>
      <w:r>
        <w:rPr>
          <w:rStyle w:val="FootnoteReference"/>
          <w:rFonts w:ascii="Arial" w:hAnsi="Arial" w:cs="Arial"/>
          <w:noProof/>
          <w:lang w:val="en-GB" w:eastAsia="en-GB"/>
        </w:rPr>
        <w:footnoteReference w:id="311"/>
      </w:r>
      <w:r>
        <w:rPr>
          <w:rFonts w:ascii="Arial" w:hAnsi="Arial" w:cs="Arial"/>
          <w:noProof/>
          <w:lang w:val="en-GB" w:eastAsia="en-GB"/>
        </w:rPr>
        <w:t>;</w:t>
      </w:r>
    </w:p>
    <w:p w:rsidR="00E26342" w:rsidRDefault="00040788">
      <w:pPr>
        <w:pStyle w:val="Lijstje2"/>
        <w:spacing w:after="0"/>
        <w:ind w:left="1843" w:hanging="425"/>
        <w:rPr>
          <w:rStyle w:val="Strong"/>
          <w:rFonts w:ascii="Arial" w:hAnsi="Arial"/>
          <w:b w:val="0"/>
          <w:noProof/>
          <w:lang w:val="en-GB" w:eastAsia="en-GB"/>
        </w:rPr>
      </w:pPr>
      <w:r>
        <w:rPr>
          <w:rStyle w:val="Strong"/>
          <w:rFonts w:ascii="Arial" w:hAnsi="Arial" w:cs="Arial"/>
          <w:b w:val="0"/>
          <w:bCs w:val="0"/>
          <w:noProof/>
          <w:lang w:val="en-GB"/>
        </w:rPr>
        <w:t>non-compliance of national legislation on gambling with EU rules</w:t>
      </w:r>
      <w:r>
        <w:rPr>
          <w:rStyle w:val="FootnoteReference"/>
          <w:rFonts w:ascii="Arial" w:hAnsi="Arial" w:cs="Arial"/>
          <w:noProof/>
          <w:lang w:val="en-GB"/>
        </w:rPr>
        <w:footnoteReference w:id="312"/>
      </w:r>
      <w:r>
        <w:rPr>
          <w:rStyle w:val="Strong"/>
          <w:rFonts w:ascii="Arial" w:hAnsi="Arial" w:cs="Arial"/>
          <w:b w:val="0"/>
          <w:bCs w:val="0"/>
          <w:noProof/>
          <w:lang w:val="en-GB"/>
        </w:rPr>
        <w:t>;</w:t>
      </w:r>
    </w:p>
    <w:p w:rsidR="00E26342" w:rsidRDefault="00040788">
      <w:pPr>
        <w:pStyle w:val="Lijstje2"/>
        <w:spacing w:after="0"/>
        <w:ind w:left="1843" w:hanging="425"/>
        <w:rPr>
          <w:rFonts w:ascii="Arial" w:hAnsi="Arial" w:cs="Arial"/>
          <w:noProof/>
          <w:lang w:val="en-GB" w:eastAsia="en-GB"/>
        </w:rPr>
      </w:pPr>
      <w:r>
        <w:rPr>
          <w:rFonts w:ascii="Arial" w:hAnsi="Arial" w:cs="Arial"/>
          <w:noProof/>
          <w:lang w:val="en-GB"/>
        </w:rPr>
        <w:t>non-communication</w:t>
      </w:r>
      <w:r>
        <w:rPr>
          <w:rFonts w:ascii="Arial" w:hAnsi="Arial"/>
          <w:noProof/>
          <w:lang w:val="en-GB"/>
        </w:rPr>
        <w:t xml:space="preserve"> of </w:t>
      </w:r>
      <w:r>
        <w:rPr>
          <w:rFonts w:ascii="Arial" w:hAnsi="Arial" w:cs="Arial"/>
          <w:noProof/>
          <w:lang w:val="en-GB"/>
        </w:rPr>
        <w:t xml:space="preserve">national measures transposing </w:t>
      </w:r>
      <w:r>
        <w:rPr>
          <w:rFonts w:ascii="Arial" w:hAnsi="Arial"/>
          <w:noProof/>
          <w:lang w:val="en-GB"/>
        </w:rPr>
        <w:t>the</w:t>
      </w:r>
      <w:r>
        <w:rPr>
          <w:rFonts w:ascii="Arial" w:hAnsi="Arial" w:cs="Arial"/>
          <w:noProof/>
          <w:lang w:val="en-GB"/>
        </w:rPr>
        <w:t>:</w:t>
      </w:r>
    </w:p>
    <w:p w:rsidR="00E26342" w:rsidRDefault="00040788">
      <w:pPr>
        <w:pStyle w:val="Lijstje2"/>
        <w:numPr>
          <w:ilvl w:val="2"/>
          <w:numId w:val="2"/>
        </w:numPr>
        <w:spacing w:after="0"/>
        <w:ind w:left="2410" w:hanging="425"/>
        <w:rPr>
          <w:rFonts w:ascii="Arial" w:hAnsi="Arial" w:cs="Arial"/>
          <w:noProof/>
          <w:lang w:val="en-GB" w:eastAsia="en-GB"/>
        </w:rPr>
      </w:pPr>
      <w:r>
        <w:rPr>
          <w:rFonts w:ascii="Arial" w:hAnsi="Arial" w:cs="Arial"/>
          <w:noProof/>
          <w:lang w:val="en-GB"/>
        </w:rPr>
        <w:t>Directive</w:t>
      </w:r>
      <w:r>
        <w:rPr>
          <w:rFonts w:ascii="Arial" w:hAnsi="Arial" w:cs="Arial"/>
          <w:b/>
          <w:bCs/>
          <w:noProof/>
          <w:lang w:val="en-GB"/>
        </w:rPr>
        <w:t xml:space="preserve"> </w:t>
      </w:r>
      <w:r>
        <w:rPr>
          <w:rFonts w:ascii="Arial" w:hAnsi="Arial" w:cs="Arial"/>
          <w:bCs/>
          <w:noProof/>
          <w:lang w:val="en-GB"/>
        </w:rPr>
        <w:t>on maximum authorised dimensions in national and international traffic and the maximum authorised weights in international traffic</w:t>
      </w:r>
      <w:r>
        <w:rPr>
          <w:rStyle w:val="FootnoteReference"/>
          <w:noProof/>
          <w:lang w:val="en-GB"/>
        </w:rPr>
        <w:footnoteReference w:id="313"/>
      </w:r>
      <w:r>
        <w:rPr>
          <w:rFonts w:ascii="Arial" w:hAnsi="Arial" w:cs="Arial"/>
          <w:noProof/>
          <w:lang w:val="en-GB"/>
        </w:rPr>
        <w:t>;</w:t>
      </w:r>
    </w:p>
    <w:p w:rsidR="00E26342" w:rsidRDefault="00040788">
      <w:pPr>
        <w:pStyle w:val="Lijstje2"/>
        <w:numPr>
          <w:ilvl w:val="2"/>
          <w:numId w:val="2"/>
        </w:numPr>
        <w:spacing w:after="0"/>
        <w:ind w:left="2410" w:hanging="425"/>
        <w:rPr>
          <w:rFonts w:ascii="Arial" w:hAnsi="Arial"/>
          <w:noProof/>
          <w:lang w:val="en-GB"/>
        </w:rPr>
      </w:pPr>
      <w:r>
        <w:rPr>
          <w:rFonts w:ascii="Arial" w:hAnsi="Arial"/>
          <w:noProof/>
          <w:lang w:val="en-GB"/>
        </w:rPr>
        <w:t>Transparency Directive, Deposit Guarantee Schemes Directive, Banking Resolutio</w:t>
      </w:r>
      <w:r>
        <w:rPr>
          <w:rFonts w:ascii="Arial" w:hAnsi="Arial"/>
          <w:noProof/>
          <w:lang w:val="en-GB"/>
        </w:rPr>
        <w:t>n Directive, Directive on undertakings for collective investment in transferable securities, and Accounting Directive</w:t>
      </w:r>
      <w:r>
        <w:rPr>
          <w:rStyle w:val="FootnoteReference"/>
          <w:noProof/>
          <w:lang w:val="en-GB"/>
        </w:rPr>
        <w:footnoteReference w:id="314"/>
      </w:r>
      <w:r>
        <w:rPr>
          <w:rFonts w:ascii="Arial" w:hAnsi="Arial"/>
          <w:noProof/>
          <w:lang w:val="en-GB"/>
        </w:rPr>
        <w:t>.</w:t>
      </w:r>
    </w:p>
    <w:p w:rsidR="00E26342" w:rsidRDefault="00040788">
      <w:pPr>
        <w:pStyle w:val="kop2"/>
        <w:numPr>
          <w:ilvl w:val="0"/>
          <w:numId w:val="3"/>
        </w:numPr>
        <w:spacing w:before="360" w:after="240"/>
        <w:ind w:left="709" w:hanging="425"/>
        <w:rPr>
          <w:caps w:val="0"/>
          <w:noProof/>
        </w:rPr>
      </w:pPr>
      <w:r>
        <w:rPr>
          <w:noProof/>
        </w:rPr>
        <w:t>IMPORTANT JUDGMENTS</w:t>
      </w:r>
    </w:p>
    <w:p w:rsidR="00E26342" w:rsidRDefault="00040788">
      <w:pPr>
        <w:pStyle w:val="AnnualReport2"/>
        <w:numPr>
          <w:ilvl w:val="0"/>
          <w:numId w:val="154"/>
        </w:numPr>
        <w:ind w:left="782" w:hanging="357"/>
        <w:rPr>
          <w:noProof/>
        </w:rPr>
      </w:pPr>
      <w:r>
        <w:rPr>
          <w:noProof/>
        </w:rPr>
        <w:t>Court rulings</w:t>
      </w:r>
      <w:r>
        <w:rPr>
          <w:rStyle w:val="FootnoteReference"/>
          <w:noProof/>
        </w:rPr>
        <w:footnoteReference w:id="315"/>
      </w:r>
    </w:p>
    <w:p w:rsidR="00E26342" w:rsidRDefault="00040788">
      <w:pPr>
        <w:pStyle w:val="Body"/>
        <w:rPr>
          <w:noProof/>
          <w:lang w:val="en-GB"/>
        </w:rPr>
      </w:pPr>
      <w:r>
        <w:rPr>
          <w:noProof/>
          <w:lang w:val="en-GB"/>
        </w:rPr>
        <w:t>The Court ruled that:</w:t>
      </w:r>
    </w:p>
    <w:p w:rsidR="00E26342" w:rsidRDefault="00040788">
      <w:pPr>
        <w:pStyle w:val="Lijstje2"/>
        <w:numPr>
          <w:ilvl w:val="0"/>
          <w:numId w:val="123"/>
        </w:numPr>
        <w:tabs>
          <w:tab w:val="left" w:pos="2127"/>
        </w:tabs>
        <w:spacing w:after="200"/>
        <w:ind w:left="1276" w:hanging="426"/>
        <w:rPr>
          <w:rFonts w:ascii="Arial" w:hAnsi="Arial"/>
          <w:noProof/>
          <w:lang w:val="en-GB"/>
        </w:rPr>
      </w:pPr>
      <w:r>
        <w:rPr>
          <w:rFonts w:ascii="Arial" w:hAnsi="Arial" w:cs="Arial"/>
          <w:noProof/>
          <w:lang w:val="en-GB"/>
        </w:rPr>
        <w:t>The appeal brought by Sweden against a judgment of the General Court interpreti</w:t>
      </w:r>
      <w:r>
        <w:rPr>
          <w:rFonts w:ascii="Arial" w:hAnsi="Arial" w:cs="Arial"/>
          <w:noProof/>
          <w:lang w:val="en-GB"/>
        </w:rPr>
        <w:t>ng EU provisions on access to documents was unfounded. The Court clarified that the documents exchanged between the Commission and the Member State concerned in the framework of the EU Pilot dialogue are covered by a general presumption of confidentiality.</w:t>
      </w:r>
    </w:p>
    <w:p w:rsidR="00E26342" w:rsidRDefault="00040788">
      <w:pPr>
        <w:pStyle w:val="AnnualReport2"/>
        <w:numPr>
          <w:ilvl w:val="0"/>
          <w:numId w:val="154"/>
        </w:numPr>
        <w:ind w:left="782" w:hanging="357"/>
        <w:rPr>
          <w:noProof/>
        </w:rPr>
      </w:pPr>
      <w:r>
        <w:rPr>
          <w:noProof/>
        </w:rPr>
        <w:t>Preliminary rulings</w:t>
      </w:r>
    </w:p>
    <w:p w:rsidR="00E26342" w:rsidRDefault="00040788">
      <w:pPr>
        <w:pStyle w:val="Body"/>
        <w:ind w:left="426" w:firstLine="294"/>
        <w:rPr>
          <w:noProof/>
          <w:lang w:val="en-GB"/>
        </w:rPr>
      </w:pPr>
      <w:r>
        <w:rPr>
          <w:noProof/>
          <w:lang w:val="en-GB"/>
        </w:rPr>
        <w:t xml:space="preserve">The Court addressed the following preliminary rulings to the Swedish judiciary. </w:t>
      </w:r>
    </w:p>
    <w:p w:rsidR="00E26342" w:rsidRDefault="00040788">
      <w:pPr>
        <w:pStyle w:val="Lijstje2"/>
        <w:ind w:left="1276" w:hanging="425"/>
        <w:rPr>
          <w:rFonts w:ascii="Arial" w:hAnsi="Arial" w:cs="Arial"/>
          <w:noProof/>
          <w:lang w:val="en-GB"/>
        </w:rPr>
      </w:pPr>
      <w:r>
        <w:rPr>
          <w:rFonts w:ascii="Arial" w:hAnsi="Arial" w:cs="Arial"/>
          <w:noProof/>
          <w:lang w:val="en-GB"/>
        </w:rPr>
        <w:t>National legislation that prescribes a general and indiscriminate obligation on providers of electronic communications services to retain data is contrary</w:t>
      </w:r>
      <w:r>
        <w:rPr>
          <w:rFonts w:ascii="Arial" w:hAnsi="Arial" w:cs="Arial"/>
          <w:noProof/>
          <w:lang w:val="en-GB"/>
        </w:rPr>
        <w:t xml:space="preserve"> to EU law. Such interference with the right to private life could only be justified by the objective of fighting serious crime</w:t>
      </w:r>
      <w:r>
        <w:rPr>
          <w:rStyle w:val="FootnoteReference"/>
          <w:rFonts w:ascii="Arial" w:hAnsi="Arial" w:cs="Arial"/>
          <w:noProof/>
          <w:lang w:val="en-GB"/>
        </w:rPr>
        <w:footnoteReference w:id="316"/>
      </w:r>
      <w:r>
        <w:rPr>
          <w:rFonts w:ascii="Arial" w:hAnsi="Arial" w:cs="Arial"/>
          <w:noProof/>
          <w:lang w:val="en-GB"/>
        </w:rPr>
        <w:t>.</w:t>
      </w:r>
    </w:p>
    <w:p w:rsidR="00E26342" w:rsidRDefault="00040788">
      <w:pPr>
        <w:pStyle w:val="Lijstje2"/>
        <w:ind w:left="1276" w:hanging="425"/>
        <w:rPr>
          <w:rFonts w:ascii="Arial" w:hAnsi="Arial" w:cs="Arial"/>
          <w:noProof/>
          <w:lang w:val="en-GB"/>
        </w:rPr>
      </w:pPr>
      <w:r>
        <w:rPr>
          <w:rFonts w:ascii="Arial" w:hAnsi="Arial" w:cs="Arial"/>
          <w:noProof/>
          <w:lang w:val="en-GB"/>
        </w:rPr>
        <w:t xml:space="preserve">Article 34 of the TFEU precludes a national measure which, on the one hand, allows economic operators to implement a mass </w:t>
      </w:r>
      <w:r>
        <w:rPr>
          <w:rFonts w:ascii="Arial" w:hAnsi="Arial" w:cs="Arial"/>
          <w:noProof/>
          <w:lang w:val="en-GB"/>
        </w:rPr>
        <w:t>balance system in respect of sustainable biogas if the biogas is transported within the Member State's national gas network, while, on the one hand, preventing the implementation of such a mass balance system if the biogas is transported cross-border in in</w:t>
      </w:r>
      <w:r>
        <w:rPr>
          <w:rFonts w:ascii="Arial" w:hAnsi="Arial" w:cs="Arial"/>
          <w:noProof/>
          <w:lang w:val="en-GB"/>
        </w:rPr>
        <w:t>terconnected national gas networks</w:t>
      </w:r>
      <w:r>
        <w:rPr>
          <w:rStyle w:val="FootnoteReference"/>
          <w:rFonts w:ascii="Arial" w:hAnsi="Arial" w:cs="Arial"/>
          <w:noProof/>
          <w:lang w:val="en-GB"/>
        </w:rPr>
        <w:footnoteReference w:id="317"/>
      </w:r>
      <w:r>
        <w:rPr>
          <w:rFonts w:ascii="Arial" w:hAnsi="Arial" w:cs="Arial"/>
          <w:noProof/>
          <w:lang w:val="en-GB"/>
        </w:rPr>
        <w:t>;</w:t>
      </w:r>
    </w:p>
    <w:p w:rsidR="00E26342" w:rsidRDefault="00040788">
      <w:pPr>
        <w:pStyle w:val="Lijstje2"/>
        <w:numPr>
          <w:ilvl w:val="0"/>
          <w:numId w:val="0"/>
        </w:numPr>
        <w:spacing w:after="0"/>
        <w:rPr>
          <w:rFonts w:ascii="Arial" w:hAnsi="Arial" w:cs="Arial"/>
          <w:noProof/>
          <w:lang w:val="en-GB"/>
        </w:rPr>
      </w:pPr>
      <w:r>
        <w:rPr>
          <w:rFonts w:ascii="Arial" w:hAnsi="Arial" w:cs="Arial"/>
          <w:noProof/>
          <w:lang w:val="en-GB"/>
        </w:rPr>
        <w:t xml:space="preserve"> </w:t>
      </w:r>
    </w:p>
    <w:p w:rsidR="00E26342" w:rsidRDefault="00E26342">
      <w:pPr>
        <w:pStyle w:val="Lijstje2"/>
        <w:numPr>
          <w:ilvl w:val="0"/>
          <w:numId w:val="0"/>
        </w:numPr>
        <w:ind w:left="1276"/>
        <w:rPr>
          <w:noProof/>
          <w:lang w:val="en-GB"/>
        </w:rPr>
        <w:sectPr w:rsidR="00E26342">
          <w:headerReference w:type="even" r:id="rId217"/>
          <w:headerReference w:type="default" r:id="rId218"/>
          <w:footerReference w:type="even" r:id="rId219"/>
          <w:footerReference w:type="default" r:id="rId220"/>
          <w:headerReference w:type="first" r:id="rId221"/>
          <w:footerReference w:type="first" r:id="rId222"/>
          <w:footnotePr>
            <w:numRestart w:val="eachSect"/>
          </w:footnotePr>
          <w:pgSz w:w="11906" w:h="16838"/>
          <w:pgMar w:top="1948" w:right="1417" w:bottom="1134" w:left="1417" w:header="567" w:footer="351" w:gutter="0"/>
          <w:cols w:space="708"/>
          <w:titlePg/>
          <w:docGrid w:linePitch="360"/>
        </w:sectPr>
      </w:pPr>
    </w:p>
    <w:p w:rsidR="00E26342" w:rsidRDefault="00040788">
      <w:pPr>
        <w:pStyle w:val="Heading1"/>
        <w:rPr>
          <w:noProof/>
        </w:rPr>
      </w:pPr>
      <w:bookmarkStart w:id="60" w:name="_Toc444769611"/>
      <w:bookmarkStart w:id="61" w:name="_Toc444772067"/>
      <w:bookmarkStart w:id="62" w:name="_Toc444773386"/>
      <w:bookmarkStart w:id="63" w:name="_Toc444776758"/>
      <w:bookmarkStart w:id="64" w:name="_Toc475974665"/>
      <w:bookmarkStart w:id="65" w:name="_Toc475980161"/>
      <w:bookmarkStart w:id="66" w:name="_Toc475981410"/>
      <w:bookmarkStart w:id="67" w:name="_Toc484622344"/>
      <w:bookmarkStart w:id="68" w:name="_Toc510015293"/>
      <w:r>
        <w:rPr>
          <w:noProof/>
        </w:rPr>
        <w:t>United Kingdom</w:t>
      </w:r>
      <w:bookmarkEnd w:id="60"/>
      <w:bookmarkEnd w:id="61"/>
      <w:bookmarkEnd w:id="62"/>
      <w:bookmarkEnd w:id="63"/>
      <w:bookmarkEnd w:id="64"/>
      <w:bookmarkEnd w:id="65"/>
      <w:bookmarkEnd w:id="66"/>
      <w:bookmarkEnd w:id="67"/>
      <w:bookmarkEnd w:id="68"/>
    </w:p>
    <w:p w:rsidR="00E26342" w:rsidRDefault="00040788">
      <w:pPr>
        <w:pStyle w:val="kop2"/>
        <w:numPr>
          <w:ilvl w:val="0"/>
          <w:numId w:val="48"/>
        </w:numPr>
        <w:spacing w:before="360" w:after="240"/>
        <w:ind w:left="709" w:hanging="425"/>
        <w:rPr>
          <w:noProof/>
        </w:rPr>
      </w:pPr>
      <w:r>
        <w:rPr>
          <w:noProof/>
        </w:rPr>
        <w:t>COMPLAINTS</w:t>
      </w:r>
    </w:p>
    <w:p w:rsidR="00E26342" w:rsidRDefault="00040788">
      <w:pPr>
        <w:pStyle w:val="AnnualReport2"/>
        <w:numPr>
          <w:ilvl w:val="0"/>
          <w:numId w:val="155"/>
        </w:numPr>
        <w:ind w:left="709" w:hanging="425"/>
        <w:rPr>
          <w:noProof/>
        </w:rPr>
      </w:pPr>
      <w:r>
        <w:rPr>
          <w:noProof/>
        </w:rPr>
        <w:t>New complaints made against the United Kingdom by members of the public (2013-2017)</w:t>
      </w:r>
    </w:p>
    <w:p w:rsidR="00E26342" w:rsidRDefault="00040788">
      <w:pPr>
        <w:ind w:firstLine="709"/>
        <w:rPr>
          <w:rFonts w:ascii="Arial" w:hAnsi="Arial" w:cs="Arial"/>
          <w:noProof/>
          <w:sz w:val="20"/>
        </w:rPr>
      </w:pPr>
      <w:r>
        <w:rPr>
          <w:rFonts w:ascii="Arial" w:hAnsi="Arial" w:cs="Arial"/>
          <w:noProof/>
          <w:sz w:val="20"/>
          <w:lang w:eastAsia="en-GB"/>
        </w:rPr>
        <w:drawing>
          <wp:inline distT="0" distB="0" distL="0" distR="0" wp14:anchorId="0D0A1BFF" wp14:editId="57E0C2B4">
            <wp:extent cx="4596130" cy="2393315"/>
            <wp:effectExtent l="0" t="0" r="0" b="0"/>
            <wp:docPr id="299"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3"/>
              </a:graphicData>
            </a:graphic>
          </wp:inline>
        </w:drawing>
      </w:r>
    </w:p>
    <w:p w:rsidR="00E26342" w:rsidRDefault="00040788">
      <w:pPr>
        <w:pStyle w:val="AnnualReport2"/>
        <w:numPr>
          <w:ilvl w:val="0"/>
          <w:numId w:val="155"/>
        </w:numPr>
        <w:ind w:left="709" w:hanging="425"/>
        <w:rPr>
          <w:noProof/>
        </w:rPr>
      </w:pPr>
      <w:r>
        <w:rPr>
          <w:noProof/>
        </w:rPr>
        <w:t>Public complaints against the United Kingdom open at year-end</w:t>
      </w:r>
    </w:p>
    <w:tbl>
      <w:tblPr>
        <w:tblW w:w="0" w:type="auto"/>
        <w:jc w:val="center"/>
        <w:tblLook w:val="04A0" w:firstRow="1" w:lastRow="0" w:firstColumn="1" w:lastColumn="0" w:noHBand="0" w:noVBand="1"/>
      </w:tblPr>
      <w:tblGrid>
        <w:gridCol w:w="1697"/>
        <w:gridCol w:w="452"/>
        <w:gridCol w:w="5310"/>
      </w:tblGrid>
      <w:tr w:rsidR="00E26342">
        <w:trPr>
          <w:trHeight w:val="403"/>
          <w:jc w:val="center"/>
        </w:trPr>
        <w:tc>
          <w:tcPr>
            <w:tcW w:w="1697" w:type="dxa"/>
            <w:shd w:val="clear" w:color="auto" w:fill="auto"/>
            <w:vAlign w:val="center"/>
          </w:tcPr>
          <w:p w:rsidR="00E26342" w:rsidRDefault="00040788">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172</w:t>
            </w:r>
          </w:p>
        </w:tc>
        <w:tc>
          <w:tcPr>
            <w:tcW w:w="452" w:type="dxa"/>
            <w:shd w:val="clear" w:color="auto" w:fill="auto"/>
            <w:vAlign w:val="center"/>
          </w:tcPr>
          <w:p w:rsidR="00E26342" w:rsidRDefault="00040788">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E26342" w:rsidRDefault="00040788">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Complaints open at end-20</w:t>
            </w:r>
            <w:r>
              <w:rPr>
                <w:rFonts w:ascii="Arial" w:hAnsi="Arial" w:cs="Arial"/>
                <w:noProof/>
                <w:color w:val="548DD4"/>
                <w:sz w:val="22"/>
                <w:szCs w:val="28"/>
                <w:lang w:eastAsia="en-GB"/>
              </w:rPr>
              <w:t>16</w:t>
            </w:r>
          </w:p>
        </w:tc>
      </w:tr>
      <w:tr w:rsidR="00E26342">
        <w:trPr>
          <w:trHeight w:val="403"/>
          <w:jc w:val="center"/>
        </w:trPr>
        <w:tc>
          <w:tcPr>
            <w:tcW w:w="1697" w:type="dxa"/>
            <w:shd w:val="clear" w:color="auto" w:fill="auto"/>
            <w:vAlign w:val="center"/>
          </w:tcPr>
          <w:p w:rsidR="00E26342" w:rsidRDefault="00040788">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154</w:t>
            </w:r>
          </w:p>
        </w:tc>
        <w:tc>
          <w:tcPr>
            <w:tcW w:w="452" w:type="dxa"/>
            <w:shd w:val="clear" w:color="auto" w:fill="auto"/>
            <w:vAlign w:val="center"/>
          </w:tcPr>
          <w:p w:rsidR="00E26342" w:rsidRDefault="00040788">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E26342" w:rsidRDefault="00040788">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New complaints registered in 2017</w:t>
            </w:r>
          </w:p>
        </w:tc>
      </w:tr>
      <w:tr w:rsidR="00E26342">
        <w:trPr>
          <w:trHeight w:val="403"/>
          <w:jc w:val="center"/>
        </w:trPr>
        <w:tc>
          <w:tcPr>
            <w:tcW w:w="1697" w:type="dxa"/>
            <w:tcBorders>
              <w:bottom w:val="single" w:sz="24" w:space="0" w:color="548DD4"/>
            </w:tcBorders>
            <w:shd w:val="clear" w:color="auto" w:fill="auto"/>
            <w:vAlign w:val="center"/>
          </w:tcPr>
          <w:p w:rsidR="00E26342" w:rsidRDefault="00040788">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138</w:t>
            </w:r>
          </w:p>
        </w:tc>
        <w:tc>
          <w:tcPr>
            <w:tcW w:w="452" w:type="dxa"/>
            <w:shd w:val="clear" w:color="auto" w:fill="auto"/>
            <w:vAlign w:val="center"/>
          </w:tcPr>
          <w:p w:rsidR="00E26342" w:rsidRDefault="00040788">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E26342" w:rsidRDefault="00040788">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Complaints handled in 2017</w:t>
            </w:r>
          </w:p>
        </w:tc>
      </w:tr>
      <w:tr w:rsidR="00E26342">
        <w:trPr>
          <w:trHeight w:val="403"/>
          <w:jc w:val="center"/>
        </w:trPr>
        <w:tc>
          <w:tcPr>
            <w:tcW w:w="1697" w:type="dxa"/>
            <w:tcBorders>
              <w:top w:val="single" w:sz="24" w:space="0" w:color="548DD4"/>
            </w:tcBorders>
            <w:shd w:val="clear" w:color="auto" w:fill="auto"/>
            <w:vAlign w:val="center"/>
          </w:tcPr>
          <w:p w:rsidR="00E26342" w:rsidRDefault="00040788">
            <w:pPr>
              <w:spacing w:after="0"/>
              <w:jc w:val="right"/>
              <w:rPr>
                <w:rFonts w:ascii="Arial" w:hAnsi="Arial" w:cs="Arial"/>
                <w:noProof/>
                <w:color w:val="C00000"/>
                <w:sz w:val="22"/>
                <w:szCs w:val="28"/>
                <w:lang w:eastAsia="en-GB"/>
              </w:rPr>
            </w:pPr>
            <w:r>
              <w:rPr>
                <w:rFonts w:ascii="Arial" w:hAnsi="Arial" w:cs="Arial"/>
                <w:noProof/>
                <w:color w:val="C00000"/>
                <w:sz w:val="22"/>
                <w:szCs w:val="28"/>
                <w:lang w:eastAsia="en-GB"/>
              </w:rPr>
              <w:t>= 188</w:t>
            </w:r>
          </w:p>
        </w:tc>
        <w:tc>
          <w:tcPr>
            <w:tcW w:w="452" w:type="dxa"/>
            <w:shd w:val="clear" w:color="auto" w:fill="auto"/>
            <w:vAlign w:val="center"/>
          </w:tcPr>
          <w:p w:rsidR="00E26342" w:rsidRDefault="00040788">
            <w:pPr>
              <w:spacing w:after="0"/>
              <w:jc w:val="right"/>
              <w:rPr>
                <w:rFonts w:ascii="Arial" w:hAnsi="Arial" w:cs="Arial"/>
                <w:noProof/>
                <w:color w:val="548DD4"/>
                <w:sz w:val="22"/>
                <w:szCs w:val="28"/>
                <w:lang w:eastAsia="en-GB"/>
              </w:rPr>
            </w:pPr>
            <w:r>
              <w:rPr>
                <w:rFonts w:ascii="Arial" w:hAnsi="Arial" w:cs="Arial"/>
                <w:noProof/>
                <w:color w:val="548DD4"/>
                <w:sz w:val="22"/>
                <w:szCs w:val="28"/>
                <w:lang w:eastAsia="en-GB"/>
              </w:rPr>
              <w:t>&gt;</w:t>
            </w:r>
          </w:p>
        </w:tc>
        <w:tc>
          <w:tcPr>
            <w:tcW w:w="5310" w:type="dxa"/>
            <w:shd w:val="clear" w:color="auto" w:fill="auto"/>
            <w:vAlign w:val="center"/>
          </w:tcPr>
          <w:p w:rsidR="00E26342" w:rsidRDefault="00040788">
            <w:pPr>
              <w:spacing w:after="0"/>
              <w:jc w:val="left"/>
              <w:rPr>
                <w:rFonts w:ascii="Arial" w:hAnsi="Arial" w:cs="Arial"/>
                <w:noProof/>
                <w:color w:val="548DD4"/>
                <w:sz w:val="22"/>
                <w:szCs w:val="28"/>
                <w:lang w:eastAsia="en-GB"/>
              </w:rPr>
            </w:pPr>
            <w:r>
              <w:rPr>
                <w:rFonts w:ascii="Arial" w:hAnsi="Arial" w:cs="Arial"/>
                <w:noProof/>
                <w:color w:val="548DD4"/>
                <w:sz w:val="22"/>
                <w:szCs w:val="28"/>
                <w:lang w:eastAsia="en-GB"/>
              </w:rPr>
              <w:t>Complaints open at end-2017</w:t>
            </w:r>
          </w:p>
          <w:p w:rsidR="00E26342" w:rsidRDefault="00E26342">
            <w:pPr>
              <w:spacing w:after="0"/>
              <w:jc w:val="left"/>
              <w:rPr>
                <w:rFonts w:ascii="Arial" w:hAnsi="Arial" w:cs="Arial"/>
                <w:noProof/>
                <w:color w:val="548DD4"/>
                <w:sz w:val="22"/>
                <w:szCs w:val="28"/>
                <w:lang w:eastAsia="en-GB"/>
              </w:rPr>
            </w:pPr>
          </w:p>
        </w:tc>
      </w:tr>
    </w:tbl>
    <w:p w:rsidR="00E26342" w:rsidRDefault="00040788">
      <w:pPr>
        <w:pStyle w:val="AnnualReport2"/>
        <w:numPr>
          <w:ilvl w:val="0"/>
          <w:numId w:val="155"/>
        </w:numPr>
        <w:ind w:left="709" w:hanging="425"/>
        <w:rPr>
          <w:rFonts w:eastAsia="MS Gothic"/>
          <w:noProof/>
        </w:rPr>
      </w:pPr>
      <w:r>
        <w:rPr>
          <w:rFonts w:eastAsia="MS Gothic"/>
          <w:noProof/>
        </w:rPr>
        <w:t>New complaints registered in 2017: main policy areas</w:t>
      </w:r>
    </w:p>
    <w:p w:rsidR="00E26342" w:rsidRDefault="00040788">
      <w:pPr>
        <w:pStyle w:val="Body"/>
        <w:rPr>
          <w:rFonts w:eastAsia="MS Gothic"/>
          <w:noProof/>
          <w:lang w:val="en-GB"/>
        </w:rPr>
      </w:pPr>
      <w:r>
        <w:rPr>
          <w:noProof/>
          <w:lang w:val="en-GB" w:eastAsia="en-GB"/>
        </w:rPr>
        <w:drawing>
          <wp:inline distT="0" distB="0" distL="0" distR="0" wp14:anchorId="649A4EA7" wp14:editId="0EC83FA7">
            <wp:extent cx="4643755" cy="2465070"/>
            <wp:effectExtent l="0" t="0" r="23495" b="11430"/>
            <wp:docPr id="300" name="Grafiek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4"/>
              </a:graphicData>
            </a:graphic>
          </wp:inline>
        </w:drawing>
      </w:r>
    </w:p>
    <w:p w:rsidR="00E26342" w:rsidRDefault="00040788">
      <w:pPr>
        <w:pStyle w:val="Body"/>
        <w:rPr>
          <w:rFonts w:eastAsia="MS Gothic"/>
          <w:noProof/>
          <w:lang w:val="en-GB"/>
        </w:rPr>
      </w:pPr>
      <w:r>
        <w:rPr>
          <w:rFonts w:eastAsia="MS Gothic"/>
          <w:noProof/>
          <w:lang w:val="en-GB"/>
        </w:rPr>
        <w:br w:type="page"/>
      </w:r>
    </w:p>
    <w:p w:rsidR="00E26342" w:rsidRDefault="00040788">
      <w:pPr>
        <w:pStyle w:val="kop2"/>
        <w:numPr>
          <w:ilvl w:val="0"/>
          <w:numId w:val="3"/>
        </w:numPr>
        <w:spacing w:before="360" w:after="240"/>
        <w:ind w:left="709" w:hanging="425"/>
        <w:rPr>
          <w:caps w:val="0"/>
          <w:noProof/>
        </w:rPr>
      </w:pPr>
      <w:r>
        <w:rPr>
          <w:noProof/>
        </w:rPr>
        <w:t>EU PILOT</w:t>
      </w:r>
    </w:p>
    <w:p w:rsidR="00E26342" w:rsidRDefault="00040788">
      <w:pPr>
        <w:pStyle w:val="AnnualReport2"/>
        <w:numPr>
          <w:ilvl w:val="0"/>
          <w:numId w:val="156"/>
        </w:numPr>
        <w:ind w:left="709" w:hanging="425"/>
        <w:rPr>
          <w:noProof/>
        </w:rPr>
      </w:pPr>
      <w:r>
        <w:rPr>
          <w:noProof/>
        </w:rPr>
        <w:t>New EU Pilot files opened against the United Kingdom (2013-2017)</w:t>
      </w:r>
    </w:p>
    <w:p w:rsidR="00E26342" w:rsidRDefault="00040788">
      <w:pPr>
        <w:tabs>
          <w:tab w:val="left" w:pos="0"/>
        </w:tabs>
        <w:ind w:firstLine="709"/>
        <w:rPr>
          <w:rFonts w:ascii="Arial" w:hAnsi="Arial" w:cs="Arial"/>
          <w:noProof/>
          <w:sz w:val="20"/>
        </w:rPr>
      </w:pPr>
      <w:r>
        <w:rPr>
          <w:rFonts w:ascii="Arial" w:hAnsi="Arial" w:cs="Arial"/>
          <w:noProof/>
          <w:sz w:val="20"/>
          <w:lang w:eastAsia="en-GB"/>
        </w:rPr>
        <w:drawing>
          <wp:inline distT="0" distB="0" distL="0" distR="0" wp14:anchorId="333E9B1F" wp14:editId="03D1C99C">
            <wp:extent cx="4612005" cy="2289810"/>
            <wp:effectExtent l="0" t="0" r="0" b="0"/>
            <wp:docPr id="301"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5"/>
              </a:graphicData>
            </a:graphic>
          </wp:inline>
        </w:drawing>
      </w:r>
    </w:p>
    <w:p w:rsidR="00E26342" w:rsidRDefault="00040788">
      <w:pPr>
        <w:pStyle w:val="AnnualReport2"/>
        <w:numPr>
          <w:ilvl w:val="0"/>
          <w:numId w:val="156"/>
        </w:numPr>
        <w:ind w:left="709" w:hanging="425"/>
        <w:rPr>
          <w:noProof/>
        </w:rPr>
      </w:pPr>
      <w:r>
        <w:rPr>
          <w:noProof/>
        </w:rPr>
        <w:t xml:space="preserve">Files </w:t>
      </w:r>
      <w:r>
        <w:rPr>
          <w:noProof/>
        </w:rPr>
        <w:t>relating to the United Kingdom open in EU Pilot at year-end</w:t>
      </w:r>
    </w:p>
    <w:p w:rsidR="00E26342" w:rsidRDefault="00040788">
      <w:pPr>
        <w:spacing w:after="120"/>
        <w:ind w:firstLine="709"/>
        <w:rPr>
          <w:rFonts w:ascii="Arial" w:hAnsi="Arial" w:cs="Arial"/>
          <w:noProof/>
          <w:sz w:val="20"/>
        </w:rPr>
      </w:pPr>
      <w:r>
        <w:rPr>
          <w:rFonts w:ascii="Arial" w:hAnsi="Arial" w:cs="Arial"/>
          <w:noProof/>
          <w:sz w:val="20"/>
          <w:lang w:eastAsia="en-GB"/>
        </w:rPr>
        <w:drawing>
          <wp:inline distT="0" distB="0" distL="0" distR="0" wp14:anchorId="223014E1" wp14:editId="299DBFDA">
            <wp:extent cx="4612005" cy="2289810"/>
            <wp:effectExtent l="0" t="0" r="0" b="0"/>
            <wp:docPr id="302"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6"/>
              </a:graphicData>
            </a:graphic>
          </wp:inline>
        </w:drawing>
      </w:r>
    </w:p>
    <w:p w:rsidR="00E26342" w:rsidRDefault="00040788">
      <w:pPr>
        <w:pStyle w:val="AnnualReport2"/>
        <w:numPr>
          <w:ilvl w:val="0"/>
          <w:numId w:val="156"/>
        </w:numPr>
        <w:ind w:left="709" w:hanging="425"/>
        <w:rPr>
          <w:noProof/>
        </w:rPr>
      </w:pPr>
      <w:r>
        <w:rPr>
          <w:noProof/>
        </w:rPr>
        <w:t>New EU Pilot files opened in 2017: main policy areas</w:t>
      </w:r>
    </w:p>
    <w:p w:rsidR="00E26342" w:rsidRDefault="00040788">
      <w:pPr>
        <w:spacing w:after="120"/>
        <w:ind w:firstLine="709"/>
        <w:rPr>
          <w:rFonts w:ascii="Arial" w:hAnsi="Arial" w:cs="Arial"/>
          <w:noProof/>
          <w:sz w:val="20"/>
        </w:rPr>
      </w:pPr>
      <w:r>
        <w:rPr>
          <w:rFonts w:ascii="Arial" w:hAnsi="Arial" w:cs="Arial"/>
          <w:noProof/>
          <w:sz w:val="20"/>
          <w:lang w:eastAsia="en-GB"/>
        </w:rPr>
        <w:drawing>
          <wp:inline distT="0" distB="0" distL="0" distR="0" wp14:anchorId="23D5C5F2" wp14:editId="5B178DC9">
            <wp:extent cx="4643755" cy="2465070"/>
            <wp:effectExtent l="0" t="0" r="23495" b="11430"/>
            <wp:docPr id="303" name="Grafiek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7"/>
              </a:graphicData>
            </a:graphic>
          </wp:inline>
        </w:drawing>
      </w:r>
    </w:p>
    <w:p w:rsidR="00E26342" w:rsidRDefault="00040788">
      <w:pPr>
        <w:pStyle w:val="AnnualReport2"/>
        <w:numPr>
          <w:ilvl w:val="0"/>
          <w:numId w:val="156"/>
        </w:numPr>
        <w:ind w:left="709" w:hanging="425"/>
        <w:rPr>
          <w:noProof/>
          <w:sz w:val="20"/>
        </w:rPr>
      </w:pPr>
      <w:r>
        <w:rPr>
          <w:noProof/>
        </w:rPr>
        <w:t>EU Pilot files: United Kingdom’s resolution rate in 2013-2017</w:t>
      </w:r>
    </w:p>
    <w:p w:rsidR="00E26342" w:rsidRDefault="00040788">
      <w:pPr>
        <w:spacing w:after="120"/>
        <w:ind w:firstLine="709"/>
        <w:rPr>
          <w:rFonts w:ascii="Arial" w:hAnsi="Arial" w:cs="Arial"/>
          <w:noProof/>
          <w:sz w:val="20"/>
        </w:rPr>
      </w:pPr>
      <w:r>
        <w:rPr>
          <w:rFonts w:ascii="Arial" w:hAnsi="Arial" w:cs="Arial"/>
          <w:noProof/>
          <w:sz w:val="20"/>
          <w:lang w:eastAsia="en-GB"/>
        </w:rPr>
        <w:drawing>
          <wp:inline distT="0" distB="0" distL="0" distR="0" wp14:anchorId="31A72CB1" wp14:editId="756A3F84">
            <wp:extent cx="4587875" cy="2154555"/>
            <wp:effectExtent l="0" t="0" r="22225" b="17145"/>
            <wp:docPr id="304"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8"/>
              </a:graphicData>
            </a:graphic>
          </wp:inline>
        </w:drawing>
      </w:r>
    </w:p>
    <w:p w:rsidR="00E26342" w:rsidRDefault="00040788">
      <w:pPr>
        <w:keepNext/>
        <w:keepLines/>
        <w:numPr>
          <w:ilvl w:val="0"/>
          <w:numId w:val="1"/>
        </w:numPr>
        <w:spacing w:before="360"/>
        <w:ind w:left="709" w:hanging="425"/>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INFRINGEMENT CASES</w:t>
      </w:r>
    </w:p>
    <w:p w:rsidR="00E26342" w:rsidRDefault="00040788">
      <w:pPr>
        <w:pStyle w:val="AnnualReport2"/>
        <w:numPr>
          <w:ilvl w:val="0"/>
          <w:numId w:val="66"/>
        </w:numPr>
        <w:ind w:left="709" w:hanging="425"/>
        <w:rPr>
          <w:noProof/>
        </w:rPr>
      </w:pPr>
      <w:r>
        <w:rPr>
          <w:noProof/>
        </w:rPr>
        <w:t>Infringement cases against the United Kingdom open on 31</w:t>
      </w:r>
      <w:r>
        <w:rPr>
          <w:noProof/>
        </w:rPr>
        <w:t> December (2013-2017)</w:t>
      </w:r>
    </w:p>
    <w:p w:rsidR="00E26342" w:rsidRDefault="00040788">
      <w:pPr>
        <w:spacing w:after="120"/>
        <w:ind w:firstLine="709"/>
        <w:rPr>
          <w:rFonts w:ascii="Arial" w:hAnsi="Arial" w:cs="Arial"/>
          <w:noProof/>
          <w:sz w:val="20"/>
        </w:rPr>
      </w:pPr>
      <w:r>
        <w:rPr>
          <w:rFonts w:ascii="Arial" w:hAnsi="Arial" w:cs="Arial"/>
          <w:noProof/>
          <w:sz w:val="20"/>
          <w:lang w:eastAsia="en-GB"/>
        </w:rPr>
        <w:drawing>
          <wp:inline distT="0" distB="0" distL="0" distR="0" wp14:anchorId="08139428" wp14:editId="722776E7">
            <wp:extent cx="4603750" cy="2218690"/>
            <wp:effectExtent l="0" t="0" r="0" b="0"/>
            <wp:docPr id="305" name="Grafiek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9"/>
              </a:graphicData>
            </a:graphic>
          </wp:inline>
        </w:drawing>
      </w:r>
    </w:p>
    <w:p w:rsidR="00E26342" w:rsidRDefault="00040788">
      <w:pPr>
        <w:pStyle w:val="AnnualReport2"/>
        <w:numPr>
          <w:ilvl w:val="0"/>
          <w:numId w:val="63"/>
        </w:numPr>
        <w:ind w:left="709" w:hanging="425"/>
        <w:rPr>
          <w:noProof/>
        </w:rPr>
      </w:pPr>
      <w:r>
        <w:rPr>
          <w:noProof/>
        </w:rPr>
        <w:t>New infringement cases opened in 2017: main policy areas</w:t>
      </w:r>
    </w:p>
    <w:p w:rsidR="00E26342" w:rsidRDefault="00040788">
      <w:pPr>
        <w:spacing w:after="120"/>
        <w:ind w:firstLine="709"/>
        <w:rPr>
          <w:rFonts w:ascii="Arial" w:hAnsi="Arial" w:cs="Arial"/>
          <w:noProof/>
          <w:sz w:val="20"/>
        </w:rPr>
      </w:pPr>
      <w:r>
        <w:rPr>
          <w:rFonts w:ascii="Arial" w:hAnsi="Arial" w:cs="Arial"/>
          <w:noProof/>
          <w:sz w:val="20"/>
          <w:lang w:eastAsia="en-GB"/>
        </w:rPr>
        <w:drawing>
          <wp:inline distT="0" distB="0" distL="0" distR="0" wp14:anchorId="6F097AD8" wp14:editId="59BAA522">
            <wp:extent cx="4580255" cy="2440940"/>
            <wp:effectExtent l="0" t="0" r="10795" b="16510"/>
            <wp:docPr id="306" name="Object 30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0"/>
              </a:graphicData>
            </a:graphic>
          </wp:inline>
        </w:drawing>
      </w:r>
    </w:p>
    <w:p w:rsidR="00E26342" w:rsidRDefault="00040788">
      <w:pPr>
        <w:spacing w:after="0"/>
        <w:jc w:val="left"/>
        <w:rPr>
          <w:rFonts w:ascii="Arial" w:hAnsi="Arial"/>
          <w:noProof/>
          <w:color w:val="002060"/>
          <w:sz w:val="22"/>
          <w:szCs w:val="22"/>
        </w:rPr>
      </w:pPr>
      <w:r>
        <w:rPr>
          <w:noProof/>
        </w:rPr>
        <w:br w:type="page"/>
      </w:r>
    </w:p>
    <w:p w:rsidR="00E26342" w:rsidRDefault="00040788">
      <w:pPr>
        <w:pStyle w:val="AnnualReport2"/>
        <w:numPr>
          <w:ilvl w:val="0"/>
          <w:numId w:val="63"/>
        </w:numPr>
        <w:ind w:left="709" w:hanging="425"/>
        <w:rPr>
          <w:noProof/>
        </w:rPr>
      </w:pPr>
      <w:r>
        <w:rPr>
          <w:noProof/>
        </w:rPr>
        <w:t>Key infringement cases and referrals to the Court</w:t>
      </w:r>
    </w:p>
    <w:p w:rsidR="00E26342" w:rsidRDefault="00040788">
      <w:pPr>
        <w:pStyle w:val="Lijstje"/>
        <w:numPr>
          <w:ilvl w:val="0"/>
          <w:numId w:val="211"/>
        </w:numPr>
        <w:ind w:left="1276" w:hanging="425"/>
        <w:rPr>
          <w:noProof/>
        </w:rPr>
      </w:pPr>
      <w:r>
        <w:rPr>
          <w:noProof/>
        </w:rPr>
        <w:t>The Commission opened 32 new infringement cases against the United Kingdom in 2017. These, and other major ongoing infrin</w:t>
      </w:r>
      <w:r>
        <w:rPr>
          <w:noProof/>
        </w:rPr>
        <w:t>gement cases, include:</w:t>
      </w:r>
    </w:p>
    <w:p w:rsidR="00E26342" w:rsidRDefault="00040788">
      <w:pPr>
        <w:pStyle w:val="Lijstje2"/>
        <w:ind w:left="1843" w:hanging="425"/>
        <w:rPr>
          <w:rFonts w:ascii="Arial" w:hAnsi="Arial" w:cs="Arial"/>
          <w:i/>
          <w:noProof/>
          <w:lang w:val="en-GB"/>
        </w:rPr>
      </w:pPr>
      <w:r>
        <w:rPr>
          <w:rFonts w:ascii="Arial" w:hAnsi="Arial" w:cs="Arial"/>
          <w:noProof/>
          <w:lang w:val="en-GB"/>
        </w:rPr>
        <w:t>failure to comply with the NO</w:t>
      </w:r>
      <w:r>
        <w:rPr>
          <w:rFonts w:ascii="Arial" w:hAnsi="Arial" w:cs="Arial"/>
          <w:noProof/>
          <w:vertAlign w:val="subscript"/>
          <w:lang w:val="en-GB"/>
        </w:rPr>
        <w:t>2</w:t>
      </w:r>
      <w:r>
        <w:rPr>
          <w:rFonts w:ascii="Arial" w:hAnsi="Arial" w:cs="Arial"/>
          <w:noProof/>
          <w:lang w:val="en-GB"/>
        </w:rPr>
        <w:t xml:space="preserve"> limit values set by the Air Quality Directive</w:t>
      </w:r>
      <w:r>
        <w:rPr>
          <w:rStyle w:val="FootnoteReference"/>
          <w:rFonts w:ascii="Arial" w:hAnsi="Arial" w:cs="Arial"/>
          <w:noProof/>
          <w:lang w:val="en-GB"/>
        </w:rPr>
        <w:footnoteReference w:id="318"/>
      </w:r>
      <w:r>
        <w:rPr>
          <w:rFonts w:ascii="Arial" w:hAnsi="Arial" w:cs="Arial"/>
          <w:noProof/>
          <w:lang w:val="en-GB"/>
        </w:rPr>
        <w:t>;</w:t>
      </w:r>
    </w:p>
    <w:p w:rsidR="00E26342" w:rsidRDefault="00040788">
      <w:pPr>
        <w:pStyle w:val="Lijstje2"/>
        <w:ind w:left="1843" w:hanging="425"/>
        <w:rPr>
          <w:rFonts w:ascii="Arial" w:hAnsi="Arial" w:cs="Arial"/>
          <w:noProof/>
          <w:lang w:val="en-GB"/>
        </w:rPr>
      </w:pPr>
      <w:r>
        <w:rPr>
          <w:rFonts w:ascii="Arial" w:hAnsi="Arial" w:cs="Arial"/>
          <w:noProof/>
          <w:lang w:val="en-GB"/>
        </w:rPr>
        <w:t>non-communication of national measures transposing the:</w:t>
      </w:r>
    </w:p>
    <w:p w:rsidR="00E26342" w:rsidRDefault="00040788">
      <w:pPr>
        <w:pStyle w:val="Lijstje2"/>
        <w:numPr>
          <w:ilvl w:val="4"/>
          <w:numId w:val="2"/>
        </w:numPr>
        <w:ind w:left="2410" w:hanging="425"/>
        <w:rPr>
          <w:rFonts w:ascii="Arial" w:hAnsi="Arial" w:cs="Arial"/>
          <w:i/>
          <w:noProof/>
          <w:lang w:val="en-GB"/>
        </w:rPr>
      </w:pPr>
      <w:r>
        <w:rPr>
          <w:rFonts w:ascii="Arial" w:hAnsi="Arial" w:cs="Arial"/>
          <w:noProof/>
          <w:lang w:val="en-GB"/>
        </w:rPr>
        <w:t>Directive on seafarers</w:t>
      </w:r>
      <w:r>
        <w:rPr>
          <w:rStyle w:val="FootnoteReference"/>
          <w:rFonts w:ascii="Arial" w:hAnsi="Arial" w:cs="Arial"/>
          <w:noProof/>
          <w:lang w:val="en-GB"/>
        </w:rPr>
        <w:footnoteReference w:id="319"/>
      </w:r>
      <w:r>
        <w:rPr>
          <w:rFonts w:ascii="Arial" w:hAnsi="Arial" w:cs="Arial"/>
          <w:noProof/>
          <w:lang w:val="en-GB"/>
        </w:rPr>
        <w:t>;</w:t>
      </w:r>
    </w:p>
    <w:p w:rsidR="00E26342" w:rsidRDefault="00040788">
      <w:pPr>
        <w:pStyle w:val="Lijstje2"/>
        <w:numPr>
          <w:ilvl w:val="4"/>
          <w:numId w:val="2"/>
        </w:numPr>
        <w:ind w:left="2410" w:hanging="425"/>
        <w:rPr>
          <w:rFonts w:ascii="Arial" w:hAnsi="Arial" w:cs="Arial"/>
          <w:noProof/>
          <w:lang w:val="en-GB"/>
        </w:rPr>
      </w:pPr>
      <w:r>
        <w:rPr>
          <w:rFonts w:ascii="Arial" w:hAnsi="Arial" w:cs="Arial"/>
          <w:noProof/>
          <w:lang w:val="en-GB"/>
        </w:rPr>
        <w:t>Directive laying down calculation methods and reporting requirements</w:t>
      </w:r>
      <w:r>
        <w:rPr>
          <w:rStyle w:val="FootnoteReference"/>
          <w:rFonts w:ascii="Arial" w:hAnsi="Arial" w:cs="Arial"/>
          <w:noProof/>
          <w:lang w:val="en-GB"/>
        </w:rPr>
        <w:footnoteReference w:id="320"/>
      </w:r>
      <w:r>
        <w:rPr>
          <w:rFonts w:ascii="Arial" w:hAnsi="Arial" w:cs="Arial"/>
          <w:noProof/>
          <w:lang w:val="en-GB"/>
        </w:rPr>
        <w:t xml:space="preserve"> pursuant to a Directive relating to the quality of petrol and diesel fuels</w:t>
      </w:r>
      <w:r>
        <w:rPr>
          <w:rStyle w:val="FootnoteReference"/>
          <w:rFonts w:ascii="Arial" w:hAnsi="Arial" w:cs="Arial"/>
          <w:noProof/>
          <w:lang w:val="en-GB"/>
        </w:rPr>
        <w:footnoteReference w:id="321"/>
      </w:r>
      <w:r>
        <w:rPr>
          <w:rFonts w:ascii="Arial" w:hAnsi="Arial" w:cs="Arial"/>
          <w:noProof/>
          <w:lang w:val="en-GB"/>
        </w:rPr>
        <w:t>;</w:t>
      </w:r>
    </w:p>
    <w:p w:rsidR="00E26342" w:rsidRDefault="00040788">
      <w:pPr>
        <w:pStyle w:val="Lijstje2"/>
        <w:numPr>
          <w:ilvl w:val="4"/>
          <w:numId w:val="2"/>
        </w:numPr>
        <w:ind w:left="2410" w:hanging="425"/>
        <w:rPr>
          <w:rFonts w:ascii="Arial" w:hAnsi="Arial" w:cs="Arial"/>
          <w:noProof/>
          <w:lang w:val="en-GB"/>
        </w:rPr>
      </w:pPr>
      <w:r>
        <w:rPr>
          <w:rFonts w:ascii="Arial" w:hAnsi="Arial" w:cs="Arial"/>
          <w:noProof/>
          <w:lang w:val="en-GB"/>
        </w:rPr>
        <w:t>Directive on the organisation of working time in inland waterway transport</w:t>
      </w:r>
      <w:r>
        <w:rPr>
          <w:rStyle w:val="FootnoteReference"/>
          <w:rFonts w:ascii="Arial" w:hAnsi="Arial" w:cs="Arial"/>
          <w:noProof/>
          <w:lang w:val="en-GB"/>
        </w:rPr>
        <w:footnoteReference w:id="322"/>
      </w:r>
      <w:r>
        <w:rPr>
          <w:rFonts w:ascii="Arial" w:hAnsi="Arial" w:cs="Arial"/>
          <w:noProof/>
          <w:lang w:val="en-GB"/>
        </w:rPr>
        <w:t>;</w:t>
      </w:r>
    </w:p>
    <w:p w:rsidR="00E26342" w:rsidRDefault="00040788">
      <w:pPr>
        <w:pStyle w:val="Lijstje2"/>
        <w:numPr>
          <w:ilvl w:val="4"/>
          <w:numId w:val="2"/>
        </w:numPr>
        <w:ind w:left="2410" w:hanging="425"/>
        <w:rPr>
          <w:rFonts w:ascii="Arial" w:hAnsi="Arial" w:cs="Arial"/>
          <w:noProof/>
          <w:lang w:val="en-GB"/>
        </w:rPr>
      </w:pPr>
      <w:r>
        <w:rPr>
          <w:rFonts w:ascii="Arial" w:hAnsi="Arial" w:cs="Arial"/>
          <w:noProof/>
          <w:lang w:val="en-GB"/>
        </w:rPr>
        <w:t>Directive on caseins and caseinates</w:t>
      </w:r>
      <w:r>
        <w:rPr>
          <w:rStyle w:val="FootnoteReference"/>
          <w:rFonts w:ascii="Arial" w:hAnsi="Arial" w:cs="Arial"/>
          <w:noProof/>
          <w:lang w:val="en-GB"/>
        </w:rPr>
        <w:footnoteReference w:id="323"/>
      </w:r>
      <w:r>
        <w:rPr>
          <w:rFonts w:ascii="Arial" w:hAnsi="Arial" w:cs="Arial"/>
          <w:noProof/>
          <w:lang w:val="en-GB"/>
        </w:rPr>
        <w:t>;</w:t>
      </w:r>
    </w:p>
    <w:p w:rsidR="00E26342" w:rsidRDefault="00040788">
      <w:pPr>
        <w:pStyle w:val="Lijstje"/>
        <w:numPr>
          <w:ilvl w:val="0"/>
          <w:numId w:val="211"/>
        </w:numPr>
        <w:ind w:left="1276" w:hanging="425"/>
        <w:rPr>
          <w:rFonts w:eastAsia="Times New Roman"/>
          <w:noProof/>
          <w:kern w:val="0"/>
        </w:rPr>
      </w:pPr>
      <w:r>
        <w:rPr>
          <w:noProof/>
        </w:rPr>
        <w:t>The Commission referred three cases to the Court under Article </w:t>
      </w:r>
      <w:r>
        <w:rPr>
          <w:noProof/>
        </w:rPr>
        <w:t xml:space="preserve">258 TFEU: They </w:t>
      </w:r>
      <w:r>
        <w:rPr>
          <w:rFonts w:eastAsia="Times New Roman"/>
          <w:noProof/>
          <w:kern w:val="0"/>
        </w:rPr>
        <w:t>concern the following.</w:t>
      </w:r>
    </w:p>
    <w:p w:rsidR="00E26342" w:rsidRDefault="00040788">
      <w:pPr>
        <w:pStyle w:val="Lijstje2"/>
        <w:ind w:left="1276" w:hanging="425"/>
        <w:rPr>
          <w:rFonts w:ascii="Arial" w:hAnsi="Arial" w:cs="Arial"/>
          <w:noProof/>
          <w:lang w:val="en-GB"/>
        </w:rPr>
      </w:pPr>
      <w:r>
        <w:rPr>
          <w:rFonts w:ascii="Arial" w:hAnsi="Arial" w:cs="Arial"/>
          <w:noProof/>
          <w:lang w:val="en-GB"/>
        </w:rPr>
        <w:t>Imported aluminium from third countries to the UK’s overseas territory Anguilla, which was then re-exported to the EU. The import wrongly benefited from an exemption from EU customs duties. This is considered as a loss</w:t>
      </w:r>
      <w:r>
        <w:rPr>
          <w:rFonts w:ascii="Arial" w:hAnsi="Arial" w:cs="Arial"/>
          <w:noProof/>
          <w:lang w:val="en-GB"/>
        </w:rPr>
        <w:t xml:space="preserve"> of revenue to the EU budget of EUR 1.5 million (less collection costs)</w:t>
      </w:r>
      <w:r>
        <w:rPr>
          <w:rStyle w:val="FootnoteReference"/>
          <w:rFonts w:ascii="Arial" w:hAnsi="Arial" w:cs="Arial"/>
          <w:noProof/>
          <w:lang w:val="en-GB"/>
        </w:rPr>
        <w:footnoteReference w:id="324"/>
      </w:r>
      <w:r>
        <w:rPr>
          <w:rFonts w:ascii="Arial" w:hAnsi="Arial" w:cs="Arial"/>
          <w:noProof/>
          <w:lang w:val="en-GB"/>
        </w:rPr>
        <w:t>.</w:t>
      </w:r>
    </w:p>
    <w:p w:rsidR="00E26342" w:rsidRDefault="00040788">
      <w:pPr>
        <w:pStyle w:val="Lijstje2"/>
        <w:ind w:left="1276" w:hanging="425"/>
        <w:rPr>
          <w:rFonts w:ascii="Arial" w:hAnsi="Arial" w:cs="Arial"/>
          <w:noProof/>
          <w:lang w:val="en-GB"/>
        </w:rPr>
      </w:pPr>
      <w:r>
        <w:rPr>
          <w:rFonts w:ascii="Arial" w:hAnsi="Arial" w:cs="Arial"/>
          <w:noProof/>
          <w:lang w:val="en-GB"/>
        </w:rPr>
        <w:t>Failure to protect the harbour porpoise (</w:t>
      </w:r>
      <w:r>
        <w:rPr>
          <w:rFonts w:ascii="Arial" w:hAnsi="Arial" w:cs="Arial"/>
          <w:i/>
          <w:noProof/>
          <w:lang w:val="en-GB"/>
        </w:rPr>
        <w:t>Phocoena phocoena</w:t>
      </w:r>
      <w:r>
        <w:rPr>
          <w:rFonts w:ascii="Arial" w:hAnsi="Arial" w:cs="Arial"/>
          <w:noProof/>
          <w:lang w:val="en-GB"/>
        </w:rPr>
        <w:t>)</w:t>
      </w:r>
      <w:r>
        <w:rPr>
          <w:rStyle w:val="FootnoteReference"/>
          <w:rFonts w:ascii="Arial" w:hAnsi="Arial" w:cs="Arial"/>
          <w:noProof/>
          <w:lang w:val="en-GB"/>
        </w:rPr>
        <w:footnoteReference w:id="325"/>
      </w:r>
      <w:r>
        <w:rPr>
          <w:rFonts w:ascii="Arial" w:hAnsi="Arial" w:cs="Arial"/>
          <w:noProof/>
          <w:lang w:val="en-GB"/>
        </w:rPr>
        <w:t>.</w:t>
      </w:r>
    </w:p>
    <w:p w:rsidR="00E26342" w:rsidRDefault="00040788">
      <w:pPr>
        <w:pStyle w:val="Lijstje2"/>
        <w:ind w:left="1276" w:hanging="425"/>
        <w:rPr>
          <w:rFonts w:ascii="Arial" w:hAnsi="Arial" w:cs="Arial"/>
          <w:noProof/>
          <w:lang w:val="en-GB"/>
        </w:rPr>
      </w:pPr>
      <w:r>
        <w:rPr>
          <w:rFonts w:ascii="Arial" w:hAnsi="Arial" w:cs="Arial"/>
          <w:noProof/>
          <w:lang w:val="en-GB"/>
        </w:rPr>
        <w:t>Failure to properly apply the EU rules on fiscal marking of fuel</w:t>
      </w:r>
      <w:r>
        <w:rPr>
          <w:rStyle w:val="FootnoteReference"/>
          <w:rFonts w:ascii="Arial" w:hAnsi="Arial" w:cs="Arial"/>
          <w:noProof/>
          <w:lang w:val="en-GB"/>
        </w:rPr>
        <w:footnoteReference w:id="326"/>
      </w:r>
      <w:r>
        <w:rPr>
          <w:rFonts w:ascii="Arial" w:hAnsi="Arial" w:cs="Arial"/>
          <w:noProof/>
          <w:lang w:val="en-GB"/>
        </w:rPr>
        <w:t>. Under the rules, fishing vessels, among others, may b</w:t>
      </w:r>
      <w:r>
        <w:rPr>
          <w:rFonts w:ascii="Arial" w:hAnsi="Arial" w:cs="Arial"/>
          <w:noProof/>
          <w:lang w:val="en-GB"/>
        </w:rPr>
        <w:t xml:space="preserve">enefit from a lower tax rate on their fuels; by contrast, private leisure boats must use fuel subject to a standard rate. UK law does not require fuel distributors to have separate fuel tanks for marked and standard fuel. Thus, private leisure boat owners </w:t>
      </w:r>
      <w:r>
        <w:rPr>
          <w:rFonts w:ascii="Arial" w:hAnsi="Arial" w:cs="Arial"/>
          <w:noProof/>
          <w:lang w:val="en-GB"/>
        </w:rPr>
        <w:t>often have no choice but to buy the marked fuel, which is not intended for them. In addition, private leisure boats using marked fuel risk heavy penalties abroad charged by the authorities of other Member States</w:t>
      </w:r>
      <w:r>
        <w:rPr>
          <w:rStyle w:val="FootnoteReference"/>
          <w:rFonts w:ascii="Arial" w:hAnsi="Arial" w:cs="Arial"/>
          <w:noProof/>
          <w:lang w:val="en-GB"/>
        </w:rPr>
        <w:footnoteReference w:id="327"/>
      </w:r>
      <w:r>
        <w:rPr>
          <w:rFonts w:ascii="Arial" w:hAnsi="Arial" w:cs="Arial"/>
          <w:noProof/>
          <w:lang w:val="en-GB"/>
        </w:rPr>
        <w:t>.</w:t>
      </w:r>
    </w:p>
    <w:p w:rsidR="00E26342" w:rsidRDefault="00040788">
      <w:pPr>
        <w:pStyle w:val="Lijstje"/>
        <w:numPr>
          <w:ilvl w:val="0"/>
          <w:numId w:val="211"/>
        </w:numPr>
        <w:ind w:left="1276" w:hanging="425"/>
        <w:rPr>
          <w:noProof/>
        </w:rPr>
      </w:pPr>
      <w:r>
        <w:rPr>
          <w:noProof/>
        </w:rPr>
        <w:t xml:space="preserve">The Commission did not refer any cases to </w:t>
      </w:r>
      <w:r>
        <w:rPr>
          <w:noProof/>
        </w:rPr>
        <w:t>the Court under Article 260(2) TFEU.</w:t>
      </w:r>
    </w:p>
    <w:p w:rsidR="00E26342" w:rsidRDefault="00040788">
      <w:pPr>
        <w:spacing w:after="0"/>
        <w:jc w:val="left"/>
        <w:rPr>
          <w:noProof/>
        </w:rPr>
      </w:pPr>
      <w:r>
        <w:rPr>
          <w:noProof/>
        </w:rPr>
        <w:br w:type="page"/>
      </w:r>
    </w:p>
    <w:p w:rsidR="00E26342" w:rsidRDefault="00040788">
      <w:pPr>
        <w:pStyle w:val="AnnualReport1"/>
        <w:spacing w:after="240"/>
        <w:ind w:left="709" w:hanging="425"/>
        <w:rPr>
          <w:noProof/>
        </w:rPr>
      </w:pPr>
      <w:r>
        <w:rPr>
          <w:noProof/>
        </w:rPr>
        <w:t>TRANSPOSITION OF DIRECTIVES</w:t>
      </w:r>
    </w:p>
    <w:p w:rsidR="00E26342" w:rsidRDefault="00040788">
      <w:pPr>
        <w:pStyle w:val="AnnualReport2"/>
        <w:numPr>
          <w:ilvl w:val="0"/>
          <w:numId w:val="67"/>
        </w:numPr>
        <w:ind w:left="709" w:hanging="425"/>
        <w:rPr>
          <w:noProof/>
        </w:rPr>
      </w:pPr>
      <w:r>
        <w:rPr>
          <w:noProof/>
        </w:rPr>
        <w:t>Late transposition infringement cases against the United Kingdom open on 31 December (2013-2017)</w:t>
      </w:r>
    </w:p>
    <w:p w:rsidR="00E26342" w:rsidRDefault="00040788">
      <w:pPr>
        <w:ind w:left="426" w:firstLine="283"/>
        <w:rPr>
          <w:noProof/>
        </w:rPr>
      </w:pPr>
      <w:r>
        <w:rPr>
          <w:noProof/>
          <w:lang w:eastAsia="en-GB"/>
        </w:rPr>
        <w:drawing>
          <wp:inline distT="0" distB="0" distL="0" distR="0" wp14:anchorId="685DDC25" wp14:editId="73D36CA0">
            <wp:extent cx="4610100" cy="2042160"/>
            <wp:effectExtent l="0" t="0" r="19050" b="15240"/>
            <wp:docPr id="307"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1"/>
              </a:graphicData>
            </a:graphic>
          </wp:inline>
        </w:drawing>
      </w:r>
    </w:p>
    <w:p w:rsidR="00E26342" w:rsidRDefault="00040788">
      <w:pPr>
        <w:pStyle w:val="AnnualReport2"/>
        <w:numPr>
          <w:ilvl w:val="0"/>
          <w:numId w:val="63"/>
        </w:numPr>
        <w:ind w:left="709" w:hanging="425"/>
        <w:rPr>
          <w:noProof/>
        </w:rPr>
      </w:pPr>
      <w:r>
        <w:rPr>
          <w:noProof/>
        </w:rPr>
        <w:t>New late transposition infringement cases against the United Kingdom (2013-2017)</w:t>
      </w:r>
    </w:p>
    <w:p w:rsidR="00E26342" w:rsidRDefault="00040788">
      <w:pPr>
        <w:spacing w:after="120"/>
        <w:ind w:firstLine="709"/>
        <w:rPr>
          <w:rFonts w:ascii="Arial" w:hAnsi="Arial" w:cs="Arial"/>
          <w:noProof/>
          <w:sz w:val="20"/>
        </w:rPr>
      </w:pPr>
      <w:r>
        <w:rPr>
          <w:rFonts w:ascii="Arial" w:hAnsi="Arial" w:cs="Arial"/>
          <w:noProof/>
          <w:sz w:val="20"/>
          <w:lang w:eastAsia="en-GB"/>
        </w:rPr>
        <w:drawing>
          <wp:inline distT="0" distB="0" distL="0" distR="0" wp14:anchorId="10FB39A1" wp14:editId="10DE8093">
            <wp:extent cx="4603750" cy="2353310"/>
            <wp:effectExtent l="0" t="0" r="0" b="0"/>
            <wp:docPr id="308"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2"/>
              </a:graphicData>
            </a:graphic>
          </wp:inline>
        </w:drawing>
      </w:r>
    </w:p>
    <w:p w:rsidR="00E26342" w:rsidRDefault="00040788">
      <w:pPr>
        <w:pStyle w:val="AnnualReport2"/>
        <w:numPr>
          <w:ilvl w:val="0"/>
          <w:numId w:val="63"/>
        </w:numPr>
        <w:ind w:left="709" w:hanging="425"/>
        <w:rPr>
          <w:noProof/>
        </w:rPr>
      </w:pPr>
      <w:r>
        <w:rPr>
          <w:noProof/>
        </w:rPr>
        <w:t xml:space="preserve">New </w:t>
      </w:r>
      <w:r>
        <w:rPr>
          <w:noProof/>
        </w:rPr>
        <w:t>late transposition infringement cases opened in 2017: main policy areas</w:t>
      </w:r>
    </w:p>
    <w:p w:rsidR="00E26342" w:rsidRDefault="00040788">
      <w:pPr>
        <w:spacing w:after="120"/>
        <w:ind w:firstLine="709"/>
        <w:rPr>
          <w:rFonts w:ascii="Arial" w:hAnsi="Arial" w:cs="Arial"/>
          <w:noProof/>
          <w:sz w:val="20"/>
        </w:rPr>
      </w:pPr>
      <w:r>
        <w:rPr>
          <w:rFonts w:ascii="Arial" w:hAnsi="Arial" w:cs="Arial"/>
          <w:noProof/>
          <w:sz w:val="20"/>
          <w:lang w:eastAsia="en-GB"/>
        </w:rPr>
        <w:drawing>
          <wp:inline distT="0" distB="0" distL="0" distR="0" wp14:anchorId="42F74BE3" wp14:editId="24271E0E">
            <wp:extent cx="4587240" cy="2346960"/>
            <wp:effectExtent l="0" t="0" r="22860" b="15240"/>
            <wp:docPr id="1028" name="Grafie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3"/>
              </a:graphicData>
            </a:graphic>
          </wp:inline>
        </w:drawing>
      </w:r>
    </w:p>
    <w:p w:rsidR="00E26342" w:rsidRDefault="00040788">
      <w:pPr>
        <w:spacing w:after="0"/>
        <w:jc w:val="left"/>
        <w:rPr>
          <w:rFonts w:ascii="Arial" w:hAnsi="Arial"/>
          <w:noProof/>
          <w:color w:val="002060"/>
          <w:sz w:val="22"/>
          <w:szCs w:val="22"/>
        </w:rPr>
      </w:pPr>
      <w:r>
        <w:rPr>
          <w:noProof/>
        </w:rPr>
        <w:br w:type="page"/>
      </w:r>
    </w:p>
    <w:p w:rsidR="00E26342" w:rsidRDefault="00040788">
      <w:pPr>
        <w:pStyle w:val="AnnualReport2"/>
        <w:numPr>
          <w:ilvl w:val="0"/>
          <w:numId w:val="63"/>
        </w:numPr>
        <w:ind w:left="709" w:hanging="425"/>
        <w:rPr>
          <w:noProof/>
        </w:rPr>
      </w:pPr>
      <w:r>
        <w:rPr>
          <w:noProof/>
        </w:rPr>
        <w:t>Referrals to the Court</w:t>
      </w:r>
    </w:p>
    <w:p w:rsidR="00E26342" w:rsidRDefault="00040788">
      <w:pPr>
        <w:spacing w:after="120"/>
        <w:ind w:left="709"/>
        <w:rPr>
          <w:rFonts w:ascii="Arial" w:eastAsia="Calibri" w:hAnsi="Arial" w:cs="Arial"/>
          <w:noProof/>
          <w:kern w:val="20"/>
          <w:sz w:val="20"/>
        </w:rPr>
      </w:pPr>
      <w:r>
        <w:rPr>
          <w:rFonts w:ascii="Arial" w:eastAsia="Calibri" w:hAnsi="Arial" w:cs="Arial"/>
          <w:noProof/>
          <w:kern w:val="20"/>
          <w:sz w:val="20"/>
        </w:rPr>
        <w:t>The Commission did not refer any cases to the Court under Articles 258 and 260(3) TFEU.</w:t>
      </w:r>
    </w:p>
    <w:p w:rsidR="00E26342" w:rsidRDefault="00040788">
      <w:pPr>
        <w:keepNext/>
        <w:keepLines/>
        <w:numPr>
          <w:ilvl w:val="0"/>
          <w:numId w:val="1"/>
        </w:numPr>
        <w:spacing w:before="360"/>
        <w:ind w:left="709" w:hanging="425"/>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EARLY RESOLUTION OF INFRINGEMENT CASES</w:t>
      </w:r>
    </w:p>
    <w:p w:rsidR="00E26342" w:rsidRDefault="00040788">
      <w:pPr>
        <w:pStyle w:val="AnnualReport2"/>
        <w:ind w:left="709" w:firstLine="0"/>
        <w:rPr>
          <w:noProof/>
        </w:rPr>
      </w:pPr>
      <w:r>
        <w:rPr>
          <w:noProof/>
        </w:rPr>
        <w:t xml:space="preserve">Major cases closed without a </w:t>
      </w:r>
      <w:r>
        <w:rPr>
          <w:noProof/>
        </w:rPr>
        <w:t>Court judgment in 2017</w:t>
      </w:r>
    </w:p>
    <w:p w:rsidR="00E26342" w:rsidRDefault="00040788">
      <w:pPr>
        <w:spacing w:after="120"/>
        <w:ind w:firstLine="709"/>
        <w:rPr>
          <w:rFonts w:ascii="Arial" w:hAnsi="Arial" w:cs="Arial"/>
          <w:noProof/>
          <w:sz w:val="20"/>
        </w:rPr>
      </w:pPr>
      <w:r>
        <w:rPr>
          <w:rFonts w:ascii="Arial" w:hAnsi="Arial" w:cs="Arial"/>
          <w:noProof/>
          <w:sz w:val="20"/>
        </w:rPr>
        <w:t>These concerned:</w:t>
      </w:r>
    </w:p>
    <w:p w:rsidR="00E26342" w:rsidRDefault="00040788">
      <w:pPr>
        <w:pStyle w:val="Lijstje2"/>
        <w:spacing w:after="0"/>
        <w:ind w:left="1276" w:hanging="425"/>
        <w:rPr>
          <w:rFonts w:ascii="Arial" w:hAnsi="Arial"/>
          <w:noProof/>
          <w:lang w:val="en-GB" w:eastAsia="en-GB"/>
        </w:rPr>
      </w:pPr>
      <w:r>
        <w:rPr>
          <w:rFonts w:ascii="Arial" w:hAnsi="Arial"/>
          <w:noProof/>
          <w:lang w:val="en-GB" w:eastAsia="en-GB"/>
        </w:rPr>
        <w:t>non-conformity with the Directive on harmonisation of certain aspects of copyright and related acts</w:t>
      </w:r>
      <w:r>
        <w:rPr>
          <w:rStyle w:val="FootnoteReference"/>
          <w:noProof/>
        </w:rPr>
        <w:footnoteReference w:id="328"/>
      </w:r>
      <w:r>
        <w:rPr>
          <w:rFonts w:ascii="Arial" w:hAnsi="Arial"/>
          <w:noProof/>
          <w:lang w:val="en-GB" w:eastAsia="en-GB"/>
        </w:rPr>
        <w:t>;</w:t>
      </w:r>
    </w:p>
    <w:p w:rsidR="00E26342" w:rsidRDefault="00040788">
      <w:pPr>
        <w:pStyle w:val="Lijstje2"/>
        <w:spacing w:after="0"/>
        <w:ind w:left="1276" w:hanging="425"/>
        <w:rPr>
          <w:rFonts w:ascii="Arial" w:hAnsi="Arial" w:cs="Arial"/>
          <w:noProof/>
          <w:lang w:val="en-GB" w:eastAsia="en-GB"/>
        </w:rPr>
      </w:pPr>
      <w:r>
        <w:rPr>
          <w:rFonts w:ascii="Arial" w:hAnsi="Arial" w:cs="Arial"/>
          <w:noProof/>
          <w:lang w:val="en-GB" w:eastAsia="en-GB"/>
        </w:rPr>
        <w:t>failure</w:t>
      </w:r>
      <w:r>
        <w:rPr>
          <w:rFonts w:ascii="Arial" w:hAnsi="Arial"/>
          <w:noProof/>
          <w:lang w:val="en-GB" w:eastAsia="en-GB"/>
        </w:rPr>
        <w:t xml:space="preserve"> to adopt a national policy framework for the development and deployment of alternative fuels i</w:t>
      </w:r>
      <w:r>
        <w:rPr>
          <w:rFonts w:ascii="Arial" w:hAnsi="Arial" w:cs="Arial"/>
          <w:noProof/>
          <w:lang w:val="en-GB" w:eastAsia="en-GB"/>
        </w:rPr>
        <w:t>nfrastructure</w:t>
      </w:r>
      <w:r>
        <w:rPr>
          <w:rStyle w:val="FootnoteReference"/>
          <w:rFonts w:cs="Arial"/>
          <w:noProof/>
        </w:rPr>
        <w:footnoteReference w:id="329"/>
      </w:r>
      <w:r>
        <w:rPr>
          <w:rFonts w:ascii="Arial" w:hAnsi="Arial" w:cs="Arial"/>
          <w:noProof/>
          <w:lang w:val="en-GB" w:eastAsia="en-GB"/>
        </w:rPr>
        <w:t>;</w:t>
      </w:r>
    </w:p>
    <w:p w:rsidR="00E26342" w:rsidRDefault="00040788">
      <w:pPr>
        <w:pStyle w:val="Lijstje2"/>
        <w:spacing w:after="0"/>
        <w:ind w:left="1276" w:hanging="425"/>
        <w:rPr>
          <w:rFonts w:ascii="Arial" w:hAnsi="Arial" w:cs="Arial"/>
          <w:noProof/>
          <w:lang w:val="en-GB" w:eastAsia="en-GB"/>
        </w:rPr>
      </w:pPr>
      <w:r>
        <w:rPr>
          <w:rFonts w:ascii="Arial" w:hAnsi="Arial" w:cs="Arial"/>
          <w:noProof/>
          <w:lang w:val="en-GB" w:eastAsia="en-GB"/>
        </w:rPr>
        <w:t>non-withdrawal of reservations against certain appendices of the Convention concerning International Carriage by Rail (COTIF 1999);</w:t>
      </w:r>
    </w:p>
    <w:p w:rsidR="00E26342" w:rsidRDefault="00040788">
      <w:pPr>
        <w:pStyle w:val="Lijstje2"/>
        <w:spacing w:after="0"/>
        <w:ind w:left="1276" w:hanging="425"/>
        <w:rPr>
          <w:rFonts w:ascii="Arial" w:hAnsi="Arial" w:cs="Arial"/>
          <w:noProof/>
          <w:lang w:val="en-GB" w:eastAsia="en-GB"/>
        </w:rPr>
      </w:pPr>
      <w:r>
        <w:rPr>
          <w:rFonts w:ascii="Arial" w:hAnsi="Arial" w:cs="Arial"/>
          <w:noProof/>
          <w:lang w:val="en-GB" w:eastAsia="en-GB"/>
        </w:rPr>
        <w:t>non-communication of national measures transposing the:</w:t>
      </w:r>
    </w:p>
    <w:p w:rsidR="00E26342" w:rsidRDefault="00040788">
      <w:pPr>
        <w:numPr>
          <w:ilvl w:val="1"/>
          <w:numId w:val="2"/>
        </w:numPr>
        <w:spacing w:after="0"/>
        <w:ind w:left="1843" w:hanging="425"/>
        <w:contextualSpacing/>
        <w:rPr>
          <w:rFonts w:ascii="Arial" w:hAnsi="Arial" w:cs="Arial"/>
          <w:noProof/>
          <w:sz w:val="20"/>
          <w:lang w:eastAsia="en-GB"/>
        </w:rPr>
      </w:pPr>
      <w:r>
        <w:rPr>
          <w:rFonts w:ascii="Arial" w:eastAsia="Calibri" w:hAnsi="Arial" w:cs="Arial"/>
          <w:bCs/>
          <w:noProof/>
          <w:kern w:val="20"/>
          <w:sz w:val="20"/>
        </w:rPr>
        <w:t xml:space="preserve">Directive on </w:t>
      </w:r>
      <w:r>
        <w:rPr>
          <w:rFonts w:ascii="Arial" w:eastAsia="Calibri" w:hAnsi="Arial" w:cs="Arial"/>
          <w:noProof/>
          <w:kern w:val="20"/>
          <w:sz w:val="20"/>
          <w:lang w:eastAsia="en-GB"/>
        </w:rPr>
        <w:t>recognition</w:t>
      </w:r>
      <w:r>
        <w:rPr>
          <w:rFonts w:ascii="Arial" w:eastAsia="Calibri" w:hAnsi="Arial" w:cs="Arial"/>
          <w:bCs/>
          <w:noProof/>
          <w:kern w:val="20"/>
          <w:sz w:val="20"/>
        </w:rPr>
        <w:t xml:space="preserve"> of professional qualificati</w:t>
      </w:r>
      <w:r>
        <w:rPr>
          <w:rFonts w:ascii="Arial" w:eastAsia="Calibri" w:hAnsi="Arial" w:cs="Arial"/>
          <w:bCs/>
          <w:noProof/>
          <w:kern w:val="20"/>
          <w:sz w:val="20"/>
        </w:rPr>
        <w:t>ons</w:t>
      </w:r>
      <w:r>
        <w:rPr>
          <w:rStyle w:val="FootnoteReference"/>
          <w:rFonts w:eastAsia="Calibri"/>
          <w:noProof/>
        </w:rPr>
        <w:footnoteReference w:id="330"/>
      </w:r>
      <w:r>
        <w:rPr>
          <w:rFonts w:ascii="Arial" w:eastAsia="Calibri" w:hAnsi="Arial" w:cs="Arial"/>
          <w:bCs/>
          <w:noProof/>
          <w:kern w:val="20"/>
          <w:sz w:val="20"/>
        </w:rPr>
        <w:t>;</w:t>
      </w:r>
    </w:p>
    <w:p w:rsidR="00E26342" w:rsidRDefault="00040788">
      <w:pPr>
        <w:numPr>
          <w:ilvl w:val="1"/>
          <w:numId w:val="2"/>
        </w:numPr>
        <w:spacing w:after="0"/>
        <w:ind w:left="1843" w:hanging="425"/>
        <w:contextualSpacing/>
        <w:rPr>
          <w:rFonts w:ascii="Arial" w:hAnsi="Arial" w:cs="Arial"/>
          <w:noProof/>
          <w:sz w:val="20"/>
          <w:lang w:eastAsia="en-GB"/>
        </w:rPr>
      </w:pPr>
      <w:r>
        <w:rPr>
          <w:rFonts w:ascii="Arial" w:eastAsia="Calibri" w:hAnsi="Arial" w:cs="Arial"/>
          <w:noProof/>
          <w:kern w:val="20"/>
          <w:sz w:val="20"/>
        </w:rPr>
        <w:t>Directive on the deployment of alternative fuels</w:t>
      </w:r>
      <w:r>
        <w:rPr>
          <w:rStyle w:val="FootnoteReference"/>
          <w:rFonts w:eastAsia="Calibri" w:cs="Arial"/>
          <w:noProof/>
        </w:rPr>
        <w:footnoteReference w:id="331"/>
      </w:r>
      <w:r>
        <w:rPr>
          <w:rFonts w:ascii="Arial" w:eastAsia="Calibri" w:hAnsi="Arial" w:cs="Arial"/>
          <w:noProof/>
          <w:kern w:val="20"/>
          <w:sz w:val="20"/>
        </w:rPr>
        <w:t>;</w:t>
      </w:r>
    </w:p>
    <w:p w:rsidR="00E26342" w:rsidRDefault="00040788">
      <w:pPr>
        <w:numPr>
          <w:ilvl w:val="1"/>
          <w:numId w:val="2"/>
        </w:numPr>
        <w:spacing w:after="0"/>
        <w:ind w:left="1843" w:hanging="425"/>
        <w:contextualSpacing/>
        <w:rPr>
          <w:rFonts w:ascii="Arial" w:hAnsi="Arial" w:cs="Arial"/>
          <w:noProof/>
          <w:sz w:val="20"/>
          <w:lang w:eastAsia="en-GB"/>
        </w:rPr>
      </w:pPr>
      <w:r>
        <w:rPr>
          <w:rFonts w:ascii="Arial" w:hAnsi="Arial" w:cs="Arial"/>
          <w:noProof/>
          <w:sz w:val="20"/>
          <w:lang w:eastAsia="en-GB"/>
        </w:rPr>
        <w:t>Omnibus II Directive in respect of the powers of the European Insurance and Occupational Pensions Authority and the European Securities and Markets Authority</w:t>
      </w:r>
      <w:r>
        <w:rPr>
          <w:rStyle w:val="FootnoteReference"/>
          <w:noProof/>
        </w:rPr>
        <w:footnoteReference w:id="332"/>
      </w:r>
      <w:r>
        <w:rPr>
          <w:rFonts w:ascii="Arial" w:hAnsi="Arial" w:cs="Arial"/>
          <w:noProof/>
          <w:sz w:val="20"/>
          <w:lang w:eastAsia="en-GB"/>
        </w:rPr>
        <w:t>;</w:t>
      </w:r>
    </w:p>
    <w:p w:rsidR="00E26342" w:rsidRDefault="00040788">
      <w:pPr>
        <w:numPr>
          <w:ilvl w:val="1"/>
          <w:numId w:val="2"/>
        </w:numPr>
        <w:spacing w:after="0"/>
        <w:ind w:left="1843" w:hanging="425"/>
        <w:contextualSpacing/>
        <w:rPr>
          <w:rFonts w:ascii="Arial" w:hAnsi="Arial" w:cs="Arial"/>
          <w:noProof/>
          <w:sz w:val="20"/>
          <w:lang w:eastAsia="en-GB"/>
        </w:rPr>
      </w:pPr>
      <w:r>
        <w:rPr>
          <w:rFonts w:ascii="Arial" w:hAnsi="Arial" w:cs="Arial"/>
          <w:noProof/>
          <w:sz w:val="20"/>
        </w:rPr>
        <w:t>Banking Recovery and Resolution Directi</w:t>
      </w:r>
      <w:r>
        <w:rPr>
          <w:rFonts w:ascii="Arial" w:hAnsi="Arial" w:cs="Arial"/>
          <w:noProof/>
          <w:sz w:val="20"/>
        </w:rPr>
        <w:t>ve</w:t>
      </w:r>
      <w:r>
        <w:rPr>
          <w:rStyle w:val="FootnoteReference"/>
          <w:rFonts w:ascii="Arial" w:hAnsi="Arial" w:cs="Arial"/>
          <w:noProof/>
          <w:sz w:val="20"/>
        </w:rPr>
        <w:footnoteReference w:id="333"/>
      </w:r>
      <w:r>
        <w:rPr>
          <w:rFonts w:ascii="Arial" w:hAnsi="Arial" w:cs="Arial"/>
          <w:noProof/>
          <w:sz w:val="20"/>
        </w:rPr>
        <w:t>;</w:t>
      </w:r>
    </w:p>
    <w:p w:rsidR="00E26342" w:rsidRDefault="00040788">
      <w:pPr>
        <w:numPr>
          <w:ilvl w:val="1"/>
          <w:numId w:val="2"/>
        </w:numPr>
        <w:spacing w:after="0"/>
        <w:ind w:left="1843" w:hanging="425"/>
        <w:contextualSpacing/>
        <w:rPr>
          <w:rFonts w:ascii="Arial" w:hAnsi="Arial" w:cs="Arial"/>
          <w:noProof/>
          <w:sz w:val="20"/>
          <w:lang w:eastAsia="en-GB"/>
        </w:rPr>
      </w:pPr>
      <w:r>
        <w:rPr>
          <w:rFonts w:ascii="Arial" w:hAnsi="Arial" w:cs="Arial"/>
          <w:noProof/>
          <w:sz w:val="20"/>
          <w:lang w:eastAsia="en-GB"/>
        </w:rPr>
        <w:t>Driving Licences Directive</w:t>
      </w:r>
      <w:r>
        <w:rPr>
          <w:rStyle w:val="FootnoteReference"/>
          <w:noProof/>
        </w:rPr>
        <w:footnoteReference w:id="334"/>
      </w:r>
      <w:r>
        <w:rPr>
          <w:rFonts w:ascii="Arial" w:hAnsi="Arial" w:cs="Arial"/>
          <w:noProof/>
          <w:sz w:val="20"/>
          <w:lang w:eastAsia="en-GB"/>
        </w:rPr>
        <w:t>;</w:t>
      </w:r>
    </w:p>
    <w:p w:rsidR="00E26342" w:rsidRDefault="00040788">
      <w:pPr>
        <w:numPr>
          <w:ilvl w:val="1"/>
          <w:numId w:val="2"/>
        </w:numPr>
        <w:spacing w:after="0"/>
        <w:ind w:left="1843" w:hanging="425"/>
        <w:contextualSpacing/>
        <w:rPr>
          <w:rFonts w:ascii="Arial" w:hAnsi="Arial" w:cs="Arial"/>
          <w:noProof/>
          <w:sz w:val="20"/>
          <w:lang w:eastAsia="en-GB"/>
        </w:rPr>
      </w:pPr>
      <w:r>
        <w:rPr>
          <w:rFonts w:ascii="Arial" w:hAnsi="Arial" w:cs="Arial"/>
          <w:noProof/>
          <w:sz w:val="20"/>
          <w:lang w:eastAsia="en-GB"/>
        </w:rPr>
        <w:t>Directive establishing a single European railway area (recast)</w:t>
      </w:r>
      <w:r>
        <w:rPr>
          <w:rStyle w:val="FootnoteReference"/>
          <w:noProof/>
        </w:rPr>
        <w:footnoteReference w:id="335"/>
      </w:r>
      <w:r>
        <w:rPr>
          <w:rFonts w:ascii="Arial" w:hAnsi="Arial" w:cs="Arial"/>
          <w:noProof/>
          <w:sz w:val="20"/>
          <w:lang w:eastAsia="en-GB"/>
        </w:rPr>
        <w:t>.</w:t>
      </w:r>
    </w:p>
    <w:p w:rsidR="00E26342" w:rsidRDefault="00040788">
      <w:pPr>
        <w:keepNext/>
        <w:keepLines/>
        <w:numPr>
          <w:ilvl w:val="0"/>
          <w:numId w:val="1"/>
        </w:numPr>
        <w:spacing w:before="240"/>
        <w:ind w:left="709" w:hanging="425"/>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IMPORTANT JUDGMENTS</w:t>
      </w:r>
    </w:p>
    <w:p w:rsidR="00E26342" w:rsidRDefault="00040788">
      <w:pPr>
        <w:pStyle w:val="AnnualReport2"/>
        <w:numPr>
          <w:ilvl w:val="0"/>
          <w:numId w:val="68"/>
        </w:numPr>
        <w:ind w:left="709" w:hanging="425"/>
        <w:rPr>
          <w:noProof/>
        </w:rPr>
      </w:pPr>
      <w:r>
        <w:rPr>
          <w:noProof/>
        </w:rPr>
        <w:t>Court rulings</w:t>
      </w:r>
      <w:r>
        <w:rPr>
          <w:rStyle w:val="FootnoteReference"/>
          <w:noProof/>
        </w:rPr>
        <w:footnoteReference w:id="336"/>
      </w:r>
    </w:p>
    <w:p w:rsidR="00E26342" w:rsidRDefault="00040788">
      <w:pPr>
        <w:pStyle w:val="Body"/>
        <w:rPr>
          <w:noProof/>
          <w:lang w:val="en-GB"/>
        </w:rPr>
      </w:pPr>
      <w:r>
        <w:rPr>
          <w:noProof/>
          <w:lang w:val="en-GB"/>
        </w:rPr>
        <w:t>The Court ruled that:</w:t>
      </w:r>
    </w:p>
    <w:p w:rsidR="00E26342" w:rsidRDefault="00040788">
      <w:pPr>
        <w:pStyle w:val="Lijstje2"/>
        <w:ind w:left="1276" w:hanging="425"/>
        <w:rPr>
          <w:rFonts w:ascii="Arial" w:hAnsi="Arial" w:cs="Arial"/>
          <w:noProof/>
          <w:lang w:val="en-GB"/>
        </w:rPr>
      </w:pPr>
      <w:r>
        <w:rPr>
          <w:rFonts w:ascii="Arial" w:hAnsi="Arial"/>
          <w:noProof/>
          <w:lang w:val="en-GB"/>
        </w:rPr>
        <w:t>The United Kingdom</w:t>
      </w:r>
      <w:r>
        <w:rPr>
          <w:rFonts w:ascii="Arial" w:hAnsi="Arial" w:cs="Arial"/>
          <w:noProof/>
          <w:lang w:val="en-GB"/>
        </w:rPr>
        <w:t xml:space="preserve"> has failed to ensure adequate treatment of urban waste water in several agglomerations, some discharging into sensitive areas</w:t>
      </w:r>
      <w:r>
        <w:rPr>
          <w:rStyle w:val="FootnoteReference"/>
          <w:rFonts w:ascii="Arial" w:hAnsi="Arial" w:cs="Arial"/>
          <w:bCs/>
          <w:noProof/>
          <w:lang w:val="en-GB"/>
        </w:rPr>
        <w:footnoteReference w:id="337"/>
      </w:r>
      <w:r>
        <w:rPr>
          <w:rFonts w:ascii="Arial" w:hAnsi="Arial" w:cs="Arial"/>
          <w:noProof/>
          <w:lang w:val="en-GB"/>
        </w:rPr>
        <w:t>.</w:t>
      </w:r>
    </w:p>
    <w:p w:rsidR="00E26342" w:rsidRDefault="00040788">
      <w:pPr>
        <w:pStyle w:val="AnnualReport2"/>
        <w:numPr>
          <w:ilvl w:val="0"/>
          <w:numId w:val="63"/>
        </w:numPr>
        <w:ind w:left="709" w:hanging="425"/>
        <w:rPr>
          <w:noProof/>
        </w:rPr>
      </w:pPr>
      <w:r>
        <w:rPr>
          <w:noProof/>
        </w:rPr>
        <w:t>Preliminary rulings</w:t>
      </w:r>
    </w:p>
    <w:p w:rsidR="00E26342" w:rsidRDefault="00040788">
      <w:pPr>
        <w:pStyle w:val="Body"/>
        <w:ind w:left="426" w:firstLine="294"/>
        <w:rPr>
          <w:noProof/>
          <w:lang w:val="en-GB"/>
        </w:rPr>
      </w:pPr>
      <w:r>
        <w:rPr>
          <w:noProof/>
          <w:lang w:val="en-GB"/>
        </w:rPr>
        <w:t xml:space="preserve">The Court addressed the following preliminary rulings to the UK judiciary. </w:t>
      </w:r>
    </w:p>
    <w:p w:rsidR="00E26342" w:rsidRDefault="00040788">
      <w:pPr>
        <w:pStyle w:val="Lijstje2"/>
        <w:ind w:left="1276" w:hanging="425"/>
        <w:rPr>
          <w:rFonts w:ascii="Arial" w:hAnsi="Arial" w:cs="Arial"/>
          <w:noProof/>
          <w:lang w:val="en-GB"/>
        </w:rPr>
      </w:pPr>
      <w:r>
        <w:rPr>
          <w:rFonts w:ascii="Arial" w:hAnsi="Arial" w:cs="Arial"/>
          <w:noProof/>
          <w:lang w:val="en-GB"/>
        </w:rPr>
        <w:t>Once an EU citizen acquires the</w:t>
      </w:r>
      <w:r>
        <w:rPr>
          <w:rFonts w:ascii="Arial" w:hAnsi="Arial" w:cs="Arial"/>
          <w:noProof/>
          <w:lang w:val="en-GB"/>
        </w:rPr>
        <w:t xml:space="preserve"> citizenship of another EU Member State, the Free Movement Directive ceases to apply to him/her</w:t>
      </w:r>
      <w:r>
        <w:rPr>
          <w:rStyle w:val="FootnoteReference"/>
          <w:rFonts w:ascii="Arial" w:hAnsi="Arial" w:cs="Arial"/>
          <w:noProof/>
          <w:lang w:val="en-GB"/>
        </w:rPr>
        <w:footnoteReference w:id="338"/>
      </w:r>
      <w:r>
        <w:rPr>
          <w:rFonts w:ascii="Arial" w:hAnsi="Arial" w:cs="Arial"/>
          <w:noProof/>
          <w:lang w:val="en-GB"/>
        </w:rPr>
        <w:t>. Consequently, as a general rule his/her spouse cannot benefit from a derived right of residence in that EU Member State on the basis of the Directive unless t</w:t>
      </w:r>
      <w:r>
        <w:rPr>
          <w:rFonts w:ascii="Arial" w:hAnsi="Arial" w:cs="Arial"/>
          <w:noProof/>
          <w:lang w:val="en-GB"/>
        </w:rPr>
        <w:t>his would be necessary to ensure the effective exercise, by the EU citizen concerned, of his/her freedom of movement and of the rights which the Treaties affords him/her</w:t>
      </w:r>
      <w:r>
        <w:rPr>
          <w:rStyle w:val="FootnoteReference"/>
          <w:rFonts w:ascii="Arial" w:hAnsi="Arial" w:cs="Arial"/>
          <w:noProof/>
          <w:lang w:val="en-GB"/>
        </w:rPr>
        <w:footnoteReference w:id="339"/>
      </w:r>
      <w:r>
        <w:rPr>
          <w:rFonts w:ascii="Arial" w:hAnsi="Arial" w:cs="Arial"/>
          <w:noProof/>
          <w:lang w:val="en-GB"/>
        </w:rPr>
        <w:t>.</w:t>
      </w:r>
    </w:p>
    <w:p w:rsidR="00E26342" w:rsidRDefault="00040788">
      <w:pPr>
        <w:pStyle w:val="Lijstje2"/>
        <w:ind w:left="1276" w:hanging="425"/>
        <w:rPr>
          <w:rFonts w:ascii="Arial" w:hAnsi="Arial" w:cs="Arial"/>
          <w:noProof/>
          <w:lang w:val="en-GB"/>
        </w:rPr>
      </w:pPr>
      <w:r>
        <w:rPr>
          <w:rFonts w:ascii="Arial" w:hAnsi="Arial" w:cs="Arial"/>
          <w:bCs/>
          <w:noProof/>
          <w:lang w:val="en-GB"/>
        </w:rPr>
        <w:t>The national legislation goes beyond what is considered necessary to achieve the obj</w:t>
      </w:r>
      <w:r>
        <w:rPr>
          <w:rFonts w:ascii="Arial" w:hAnsi="Arial" w:cs="Arial"/>
          <w:bCs/>
          <w:noProof/>
          <w:lang w:val="en-GB"/>
        </w:rPr>
        <w:t>ectives of preserving the allocation of powers of taxation between the Member States</w:t>
      </w:r>
      <w:r>
        <w:rPr>
          <w:rStyle w:val="FootnoteReference"/>
          <w:noProof/>
        </w:rPr>
        <w:footnoteReference w:id="340"/>
      </w:r>
      <w:r>
        <w:rPr>
          <w:rFonts w:ascii="Arial" w:hAnsi="Arial" w:cs="Arial"/>
          <w:bCs/>
          <w:noProof/>
          <w:lang w:val="en-GB"/>
        </w:rPr>
        <w:t>.</w:t>
      </w:r>
    </w:p>
    <w:p w:rsidR="00E26342" w:rsidRDefault="00040788">
      <w:pPr>
        <w:pStyle w:val="Lijstje2"/>
        <w:ind w:left="1276" w:hanging="425"/>
        <w:rPr>
          <w:rFonts w:ascii="Arial" w:hAnsi="Arial" w:cs="Arial"/>
          <w:noProof/>
          <w:lang w:val="en-GB"/>
        </w:rPr>
      </w:pPr>
      <w:r>
        <w:rPr>
          <w:rFonts w:ascii="Arial" w:hAnsi="Arial" w:cs="Arial"/>
          <w:bCs/>
          <w:noProof/>
          <w:lang w:val="en-GB"/>
        </w:rPr>
        <w:t>The TFEU Treaty cannot be invoked between the United Kingdom and Gibraltar regarding the UK tax regime on the provision of gambling services</w:t>
      </w:r>
      <w:r>
        <w:rPr>
          <w:rStyle w:val="FootnoteReference"/>
          <w:noProof/>
        </w:rPr>
        <w:footnoteReference w:id="341"/>
      </w:r>
      <w:r>
        <w:rPr>
          <w:rFonts w:ascii="Arial" w:hAnsi="Arial" w:cs="Arial"/>
          <w:bCs/>
          <w:noProof/>
          <w:lang w:val="en-GB"/>
        </w:rPr>
        <w:t>.</w:t>
      </w:r>
    </w:p>
    <w:p w:rsidR="00E26342" w:rsidRDefault="00040788">
      <w:pPr>
        <w:pStyle w:val="Lijstje2"/>
        <w:spacing w:after="200"/>
        <w:ind w:left="1276" w:hanging="425"/>
        <w:rPr>
          <w:rFonts w:ascii="Arial" w:hAnsi="Arial"/>
          <w:noProof/>
          <w:lang w:val="en-GB"/>
        </w:rPr>
      </w:pPr>
      <w:r>
        <w:rPr>
          <w:rFonts w:ascii="Arial" w:hAnsi="Arial" w:cs="Arial"/>
          <w:noProof/>
          <w:lang w:val="en-GB"/>
        </w:rPr>
        <w:t xml:space="preserve">The case concerned the </w:t>
      </w:r>
      <w:r>
        <w:rPr>
          <w:rFonts w:ascii="Arial" w:hAnsi="Arial" w:cs="Arial"/>
          <w:noProof/>
          <w:lang w:val="en-GB"/>
        </w:rPr>
        <w:t>interpretation of the words ‘contract for hire which provides that in the normal course of events ownership is to pass at the latest upon payment of the final instalment’, used in the VAT Directive. The Court held that this phrase must be interpreted as ap</w:t>
      </w:r>
      <w:r>
        <w:rPr>
          <w:rFonts w:ascii="Arial" w:hAnsi="Arial" w:cs="Arial"/>
          <w:noProof/>
          <w:lang w:val="en-GB"/>
        </w:rPr>
        <w:t>plying to a leasing contract with an option to purchase if the contract’s financial terms suggest that exercising the option appears to be the only economically rational choice to be made by the lessee at the time of performing the contract in full</w:t>
      </w:r>
      <w:r>
        <w:rPr>
          <w:rStyle w:val="FootnoteReference"/>
          <w:rFonts w:ascii="Arial" w:hAnsi="Arial" w:cs="Arial"/>
          <w:noProof/>
          <w:lang w:val="en-GB"/>
        </w:rPr>
        <w:footnoteReference w:id="342"/>
      </w:r>
      <w:r>
        <w:rPr>
          <w:rFonts w:ascii="Arial" w:hAnsi="Arial" w:cs="Arial"/>
          <w:noProof/>
          <w:lang w:val="en-GB"/>
        </w:rPr>
        <w:t>.</w:t>
      </w:r>
    </w:p>
    <w:p w:rsidR="00E26342" w:rsidRDefault="00040788">
      <w:pPr>
        <w:pStyle w:val="Lijstje2"/>
        <w:spacing w:after="200"/>
        <w:ind w:left="1276" w:hanging="425"/>
        <w:rPr>
          <w:rFonts w:ascii="Arial" w:hAnsi="Arial" w:cs="Arial"/>
          <w:noProof/>
          <w:lang w:val="en-GB"/>
        </w:rPr>
      </w:pPr>
      <w:r>
        <w:rPr>
          <w:rFonts w:ascii="Arial" w:hAnsi="Arial" w:cs="Arial"/>
          <w:noProof/>
          <w:lang w:val="en-GB"/>
        </w:rPr>
        <w:t>Under</w:t>
      </w:r>
      <w:r>
        <w:rPr>
          <w:rFonts w:ascii="Arial" w:hAnsi="Arial" w:cs="Arial"/>
          <w:noProof/>
          <w:lang w:val="en-GB"/>
        </w:rPr>
        <w:t xml:space="preserve"> the Working Time Directive</w:t>
      </w:r>
      <w:r>
        <w:rPr>
          <w:rStyle w:val="FootnoteReference"/>
          <w:rFonts w:ascii="Arial" w:hAnsi="Arial" w:cs="Arial"/>
          <w:noProof/>
          <w:lang w:val="en-GB"/>
        </w:rPr>
        <w:footnoteReference w:id="343"/>
      </w:r>
      <w:r>
        <w:rPr>
          <w:rFonts w:ascii="Arial" w:hAnsi="Arial" w:cs="Arial"/>
          <w:noProof/>
          <w:lang w:val="en-GB"/>
        </w:rPr>
        <w:t>, a worker must be able to carry over and accumulate unexercised rights to paid annual leave when an employer does not put that worker in a position in which he is able to exercise his right to paid annual leave. The Directive p</w:t>
      </w:r>
      <w:r>
        <w:rPr>
          <w:rFonts w:ascii="Arial" w:hAnsi="Arial" w:cs="Arial"/>
          <w:noProof/>
          <w:lang w:val="en-GB"/>
        </w:rPr>
        <w:t>recludes the requirement that the worker must take leave before establishing whether he has the right to be paid in respect of that leave</w:t>
      </w:r>
      <w:r>
        <w:rPr>
          <w:rStyle w:val="FootnoteReference"/>
          <w:rFonts w:ascii="Arial" w:hAnsi="Arial" w:cs="Arial"/>
          <w:noProof/>
          <w:lang w:val="en-GB"/>
        </w:rPr>
        <w:footnoteReference w:id="344"/>
      </w:r>
      <w:r>
        <w:rPr>
          <w:rFonts w:ascii="Arial" w:hAnsi="Arial" w:cs="Arial"/>
          <w:noProof/>
          <w:lang w:val="en-GB"/>
        </w:rPr>
        <w:t>.</w:t>
      </w:r>
    </w:p>
    <w:p w:rsidR="00E26342" w:rsidRDefault="00E26342">
      <w:pPr>
        <w:pStyle w:val="Lijstje2"/>
        <w:numPr>
          <w:ilvl w:val="0"/>
          <w:numId w:val="0"/>
        </w:numPr>
        <w:ind w:left="1418"/>
        <w:rPr>
          <w:rFonts w:ascii="Arial" w:hAnsi="Arial" w:cs="Arial"/>
          <w:noProof/>
          <w:lang w:val="en-GB"/>
        </w:rPr>
      </w:pPr>
    </w:p>
    <w:p w:rsidR="00E26342" w:rsidRDefault="00E26342">
      <w:pPr>
        <w:ind w:firstLine="720"/>
        <w:rPr>
          <w:rFonts w:ascii="Arial" w:hAnsi="Arial" w:cs="Arial"/>
          <w:noProof/>
          <w:sz w:val="20"/>
        </w:rPr>
      </w:pPr>
    </w:p>
    <w:p w:rsidR="00E26342" w:rsidRDefault="00E26342">
      <w:pPr>
        <w:ind w:firstLine="720"/>
        <w:rPr>
          <w:rFonts w:ascii="Arial" w:hAnsi="Arial" w:cs="Arial"/>
          <w:noProof/>
          <w:sz w:val="20"/>
        </w:rPr>
        <w:sectPr w:rsidR="00E26342">
          <w:headerReference w:type="even" r:id="rId234"/>
          <w:headerReference w:type="default" r:id="rId235"/>
          <w:footerReference w:type="even" r:id="rId236"/>
          <w:footerReference w:type="default" r:id="rId237"/>
          <w:headerReference w:type="first" r:id="rId238"/>
          <w:footerReference w:type="first" r:id="rId239"/>
          <w:footnotePr>
            <w:numRestart w:val="eachSect"/>
          </w:footnotePr>
          <w:pgSz w:w="11906" w:h="16838"/>
          <w:pgMar w:top="1843" w:right="1418" w:bottom="1134" w:left="1418" w:header="567" w:footer="352" w:gutter="0"/>
          <w:cols w:space="708"/>
          <w:titlePg/>
          <w:docGrid w:linePitch="360"/>
        </w:sectPr>
      </w:pPr>
    </w:p>
    <w:p w:rsidR="00E26342" w:rsidRDefault="00E26342">
      <w:pPr>
        <w:pStyle w:val="Heading1"/>
        <w:rPr>
          <w:noProof/>
        </w:rPr>
      </w:pPr>
      <w:bookmarkStart w:id="69" w:name="_Toc484622345"/>
    </w:p>
    <w:p w:rsidR="00E26342" w:rsidRDefault="00040788">
      <w:pPr>
        <w:pStyle w:val="Heading1"/>
        <w:rPr>
          <w:noProof/>
        </w:rPr>
      </w:pPr>
      <w:bookmarkStart w:id="70" w:name="_Toc510015294"/>
      <w:r>
        <w:rPr>
          <w:noProof/>
        </w:rPr>
        <w:t>Methodology and explanations</w:t>
      </w:r>
      <w:bookmarkEnd w:id="69"/>
      <w:bookmarkEnd w:id="70"/>
    </w:p>
    <w:p w:rsidR="00E26342" w:rsidRDefault="00040788">
      <w:pPr>
        <w:keepNext/>
        <w:keepLines/>
        <w:ind w:left="357"/>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Annex II — MEMBER STATES</w:t>
      </w:r>
    </w:p>
    <w:p w:rsidR="00E26342" w:rsidRDefault="00040788">
      <w:pPr>
        <w:keepNext/>
        <w:keepLines/>
        <w:numPr>
          <w:ilvl w:val="1"/>
          <w:numId w:val="14"/>
        </w:numPr>
        <w:spacing w:after="120"/>
        <w:ind w:left="788" w:hanging="431"/>
        <w:outlineLvl w:val="2"/>
        <w:rPr>
          <w:rFonts w:ascii="Arial" w:eastAsia="MS Gothic" w:hAnsi="Arial" w:cs="Arial"/>
          <w:bCs/>
          <w:noProof/>
          <w:color w:val="006FB4"/>
          <w:kern w:val="20"/>
          <w:sz w:val="20"/>
          <w:lang w:eastAsia="zh-CN"/>
        </w:rPr>
      </w:pPr>
      <w:r>
        <w:rPr>
          <w:rFonts w:ascii="Arial" w:eastAsia="MS Gothic" w:hAnsi="Arial" w:cs="Arial"/>
          <w:bCs/>
          <w:noProof/>
          <w:color w:val="006FB4"/>
          <w:kern w:val="20"/>
          <w:sz w:val="20"/>
          <w:lang w:eastAsia="zh-CN"/>
        </w:rPr>
        <w:t>COMPLAINTS</w:t>
      </w:r>
    </w:p>
    <w:p w:rsidR="00E26342" w:rsidRDefault="00040788">
      <w:pPr>
        <w:rPr>
          <w:rFonts w:ascii="Arial" w:hAnsi="Arial" w:cs="Arial"/>
          <w:b/>
          <w:noProof/>
          <w:color w:val="002060"/>
          <w:sz w:val="20"/>
        </w:rPr>
      </w:pPr>
      <w:r>
        <w:rPr>
          <w:rFonts w:ascii="Arial" w:hAnsi="Arial" w:cs="Arial"/>
          <w:b/>
          <w:noProof/>
          <w:color w:val="002060"/>
          <w:sz w:val="20"/>
        </w:rPr>
        <w:t>First chart: New complaints</w:t>
      </w:r>
      <w:r>
        <w:rPr>
          <w:rFonts w:ascii="Arial" w:hAnsi="Arial" w:cs="Arial"/>
          <w:b/>
          <w:noProof/>
          <w:color w:val="002060"/>
          <w:sz w:val="20"/>
        </w:rPr>
        <w:t xml:space="preserve"> made against the Member State by members of the public (2013-2017)</w:t>
      </w:r>
    </w:p>
    <w:p w:rsidR="00E26342" w:rsidRDefault="00040788">
      <w:pPr>
        <w:spacing w:after="120"/>
        <w:rPr>
          <w:rFonts w:ascii="Arial" w:hAnsi="Arial" w:cs="Arial"/>
          <w:noProof/>
          <w:sz w:val="20"/>
        </w:rPr>
      </w:pPr>
      <w:r>
        <w:rPr>
          <w:rFonts w:ascii="Arial" w:hAnsi="Arial" w:cs="Arial"/>
          <w:noProof/>
          <w:sz w:val="20"/>
        </w:rPr>
        <w:t>This shows the number of public complaints the Commission registered against the Member State for the years 2013-2017.</w:t>
      </w:r>
    </w:p>
    <w:p w:rsidR="00E26342" w:rsidRDefault="00040788">
      <w:pPr>
        <w:rPr>
          <w:rFonts w:ascii="Arial" w:hAnsi="Arial" w:cs="Arial"/>
          <w:b/>
          <w:noProof/>
          <w:color w:val="002060"/>
          <w:sz w:val="20"/>
        </w:rPr>
      </w:pPr>
      <w:r>
        <w:rPr>
          <w:rFonts w:ascii="Arial" w:hAnsi="Arial" w:cs="Arial"/>
          <w:b/>
          <w:noProof/>
          <w:color w:val="002060"/>
          <w:sz w:val="20"/>
        </w:rPr>
        <w:t>Second chart: Public complaints against the Member State open at year</w:t>
      </w:r>
      <w:r>
        <w:rPr>
          <w:rFonts w:ascii="Arial" w:hAnsi="Arial" w:cs="Arial"/>
          <w:b/>
          <w:noProof/>
          <w:color w:val="002060"/>
          <w:sz w:val="20"/>
        </w:rPr>
        <w:t>-end</w:t>
      </w:r>
    </w:p>
    <w:p w:rsidR="00E26342" w:rsidRDefault="00040788">
      <w:pPr>
        <w:rPr>
          <w:rFonts w:ascii="Arial" w:hAnsi="Arial" w:cs="Arial"/>
          <w:noProof/>
          <w:sz w:val="20"/>
        </w:rPr>
      </w:pPr>
      <w:r>
        <w:rPr>
          <w:rFonts w:ascii="Arial" w:hAnsi="Arial" w:cs="Arial"/>
          <w:noProof/>
          <w:sz w:val="20"/>
        </w:rPr>
        <w:t>This starts with the number of open complaints against the Member State carried over from 2016 (first column). The second column shows the number of new complaints registered in 2017. The third column shows the number of complaints on which the Commis</w:t>
      </w:r>
      <w:r>
        <w:rPr>
          <w:rFonts w:ascii="Arial" w:hAnsi="Arial" w:cs="Arial"/>
          <w:noProof/>
          <w:sz w:val="20"/>
        </w:rPr>
        <w:t>sion took a decision in 2017. The fourth column shows the number of complaints against the Member State that were open at the end of 2017 (calculated by taking the first figure, adding the second and subtracting the third).</w:t>
      </w:r>
    </w:p>
    <w:p w:rsidR="00E26342" w:rsidRDefault="00040788">
      <w:pPr>
        <w:rPr>
          <w:rFonts w:ascii="Arial" w:hAnsi="Arial" w:cs="Arial"/>
          <w:b/>
          <w:noProof/>
          <w:color w:val="002060"/>
          <w:sz w:val="20"/>
        </w:rPr>
      </w:pPr>
      <w:r>
        <w:rPr>
          <w:rFonts w:ascii="Arial" w:hAnsi="Arial" w:cs="Arial"/>
          <w:b/>
          <w:noProof/>
          <w:color w:val="002060"/>
          <w:sz w:val="20"/>
        </w:rPr>
        <w:t>Third chart: New complaints regi</w:t>
      </w:r>
      <w:r>
        <w:rPr>
          <w:rFonts w:ascii="Arial" w:hAnsi="Arial" w:cs="Arial"/>
          <w:b/>
          <w:noProof/>
          <w:color w:val="002060"/>
          <w:sz w:val="20"/>
        </w:rPr>
        <w:t>stered in 2017: main policy areas</w:t>
      </w:r>
    </w:p>
    <w:p w:rsidR="00E26342" w:rsidRDefault="00040788">
      <w:pPr>
        <w:rPr>
          <w:rFonts w:ascii="Arial" w:hAnsi="Arial" w:cs="Arial"/>
          <w:noProof/>
          <w:sz w:val="20"/>
        </w:rPr>
      </w:pPr>
      <w:r>
        <w:rPr>
          <w:rFonts w:ascii="Arial" w:hAnsi="Arial" w:cs="Arial"/>
          <w:noProof/>
          <w:sz w:val="20"/>
        </w:rPr>
        <w:t>The number of complaints registered in 2017 is broken down by policy area. Generally, this breakdown shows the three policy areas which attracted the most complaints. However, four (or more) policy areas are mentioned if t</w:t>
      </w:r>
      <w:r>
        <w:rPr>
          <w:rFonts w:ascii="Arial" w:hAnsi="Arial" w:cs="Arial"/>
          <w:noProof/>
          <w:sz w:val="20"/>
        </w:rPr>
        <w:t>wo (or more) policy areas tied for the third highest number of complaints.</w:t>
      </w:r>
    </w:p>
    <w:p w:rsidR="00E26342" w:rsidRDefault="00040788">
      <w:pPr>
        <w:keepNext/>
        <w:keepLines/>
        <w:numPr>
          <w:ilvl w:val="1"/>
          <w:numId w:val="14"/>
        </w:numPr>
        <w:spacing w:after="120"/>
        <w:ind w:left="788" w:hanging="431"/>
        <w:outlineLvl w:val="2"/>
        <w:rPr>
          <w:rFonts w:ascii="Arial" w:eastAsia="MS Gothic" w:hAnsi="Arial" w:cs="Arial"/>
          <w:bCs/>
          <w:noProof/>
          <w:color w:val="006FB4"/>
          <w:kern w:val="20"/>
          <w:sz w:val="20"/>
          <w:lang w:eastAsia="zh-CN"/>
        </w:rPr>
      </w:pPr>
      <w:r>
        <w:rPr>
          <w:rFonts w:ascii="Arial" w:eastAsia="MS Gothic" w:hAnsi="Arial" w:cs="Arial"/>
          <w:bCs/>
          <w:noProof/>
          <w:color w:val="006FB4"/>
          <w:kern w:val="20"/>
          <w:sz w:val="20"/>
          <w:lang w:eastAsia="zh-CN"/>
        </w:rPr>
        <w:t>EU PILOT</w:t>
      </w:r>
    </w:p>
    <w:p w:rsidR="00E26342" w:rsidRDefault="00040788">
      <w:pPr>
        <w:rPr>
          <w:rFonts w:ascii="Arial" w:hAnsi="Arial" w:cs="Arial"/>
          <w:b/>
          <w:noProof/>
          <w:color w:val="002060"/>
          <w:sz w:val="20"/>
        </w:rPr>
      </w:pPr>
      <w:r>
        <w:rPr>
          <w:rFonts w:ascii="Arial" w:hAnsi="Arial" w:cs="Arial"/>
          <w:b/>
          <w:noProof/>
          <w:color w:val="002060"/>
          <w:sz w:val="20"/>
        </w:rPr>
        <w:t>First chart: New EU Pilot files opened against the Member State (2013-2017)</w:t>
      </w:r>
    </w:p>
    <w:p w:rsidR="00E26342" w:rsidRDefault="00040788">
      <w:pPr>
        <w:rPr>
          <w:rFonts w:ascii="Arial" w:hAnsi="Arial" w:cs="Arial"/>
          <w:noProof/>
          <w:sz w:val="20"/>
        </w:rPr>
      </w:pPr>
      <w:r>
        <w:rPr>
          <w:rFonts w:ascii="Arial" w:hAnsi="Arial" w:cs="Arial"/>
          <w:noProof/>
          <w:sz w:val="20"/>
        </w:rPr>
        <w:t>This analyses the number of EU Pilot files the Commission opened against the Member State for th</w:t>
      </w:r>
      <w:r>
        <w:rPr>
          <w:rFonts w:ascii="Arial" w:hAnsi="Arial" w:cs="Arial"/>
          <w:noProof/>
          <w:sz w:val="20"/>
        </w:rPr>
        <w:t>e years 2013-2017.</w:t>
      </w:r>
    </w:p>
    <w:p w:rsidR="00E26342" w:rsidRDefault="00040788">
      <w:pPr>
        <w:rPr>
          <w:rFonts w:ascii="Arial" w:hAnsi="Arial" w:cs="Arial"/>
          <w:b/>
          <w:noProof/>
          <w:color w:val="002060"/>
          <w:sz w:val="20"/>
        </w:rPr>
      </w:pPr>
      <w:r>
        <w:rPr>
          <w:rFonts w:ascii="Arial" w:hAnsi="Arial" w:cs="Arial"/>
          <w:b/>
          <w:noProof/>
          <w:color w:val="002060"/>
          <w:sz w:val="20"/>
        </w:rPr>
        <w:t>Second chart: EU Pilot files relating to the Member State open at year-end</w:t>
      </w:r>
    </w:p>
    <w:p w:rsidR="00E26342" w:rsidRDefault="00040788">
      <w:pPr>
        <w:rPr>
          <w:rFonts w:ascii="Arial" w:hAnsi="Arial" w:cs="Arial"/>
          <w:noProof/>
          <w:sz w:val="20"/>
        </w:rPr>
      </w:pPr>
      <w:r>
        <w:rPr>
          <w:rFonts w:ascii="Arial" w:hAnsi="Arial" w:cs="Arial"/>
          <w:noProof/>
          <w:sz w:val="20"/>
        </w:rPr>
        <w:t>This analyses the number of EU Pilot files still pending at year-end against the Member State for the years 2013-2017.</w:t>
      </w:r>
    </w:p>
    <w:p w:rsidR="00E26342" w:rsidRDefault="00040788">
      <w:pPr>
        <w:rPr>
          <w:rFonts w:ascii="Arial" w:hAnsi="Arial" w:cs="Arial"/>
          <w:b/>
          <w:noProof/>
          <w:color w:val="002060"/>
          <w:sz w:val="20"/>
        </w:rPr>
      </w:pPr>
      <w:r>
        <w:rPr>
          <w:rFonts w:ascii="Arial" w:hAnsi="Arial" w:cs="Arial"/>
          <w:b/>
          <w:noProof/>
          <w:color w:val="002060"/>
          <w:sz w:val="20"/>
        </w:rPr>
        <w:t>Third chart: New EU Pilot files opened in 2</w:t>
      </w:r>
      <w:r>
        <w:rPr>
          <w:rFonts w:ascii="Arial" w:hAnsi="Arial" w:cs="Arial"/>
          <w:b/>
          <w:noProof/>
          <w:color w:val="002060"/>
          <w:sz w:val="20"/>
        </w:rPr>
        <w:t>017: main policy areas</w:t>
      </w:r>
    </w:p>
    <w:p w:rsidR="00E26342" w:rsidRDefault="00040788">
      <w:pPr>
        <w:rPr>
          <w:rFonts w:ascii="Arial" w:hAnsi="Arial" w:cs="Arial"/>
          <w:noProof/>
          <w:sz w:val="20"/>
        </w:rPr>
      </w:pPr>
      <w:r>
        <w:rPr>
          <w:rFonts w:ascii="Arial" w:hAnsi="Arial" w:cs="Arial"/>
          <w:noProof/>
          <w:sz w:val="20"/>
        </w:rPr>
        <w:t>The figure for the number of new EU Pilot files opened against the Member State in 2017 is broken down by policy area. Generally, this breakdown shows the three policy areas in which the most EU Pilot files were opened in 2017. Howev</w:t>
      </w:r>
      <w:r>
        <w:rPr>
          <w:rFonts w:ascii="Arial" w:hAnsi="Arial" w:cs="Arial"/>
          <w:noProof/>
          <w:sz w:val="20"/>
        </w:rPr>
        <w:t>er, four (or more) policy areas are mentioned if two (or more) policy areas tied for the third highest number of EU Pilot files or if the top three policy areas do not account for more than 50 % of the cases.</w:t>
      </w:r>
    </w:p>
    <w:p w:rsidR="00E26342" w:rsidRDefault="00040788">
      <w:pPr>
        <w:jc w:val="left"/>
        <w:rPr>
          <w:rFonts w:ascii="Arial" w:hAnsi="Arial" w:cs="Arial"/>
          <w:b/>
          <w:noProof/>
          <w:color w:val="002060"/>
          <w:sz w:val="20"/>
          <w:szCs w:val="22"/>
        </w:rPr>
      </w:pPr>
      <w:r>
        <w:rPr>
          <w:rFonts w:ascii="Arial" w:hAnsi="Arial" w:cs="Arial"/>
          <w:b/>
          <w:noProof/>
          <w:color w:val="002060"/>
          <w:sz w:val="20"/>
          <w:szCs w:val="22"/>
        </w:rPr>
        <w:t>Fourth chart: EU Pilot files: Member State’s re</w:t>
      </w:r>
      <w:r>
        <w:rPr>
          <w:rFonts w:ascii="Arial" w:hAnsi="Arial" w:cs="Arial"/>
          <w:b/>
          <w:noProof/>
          <w:color w:val="002060"/>
          <w:sz w:val="20"/>
          <w:szCs w:val="22"/>
        </w:rPr>
        <w:t>solution rate in 2013-2017</w:t>
      </w:r>
    </w:p>
    <w:p w:rsidR="00E26342" w:rsidRDefault="00040788">
      <w:pPr>
        <w:rPr>
          <w:rFonts w:ascii="Arial" w:hAnsi="Arial" w:cs="Arial"/>
          <w:noProof/>
          <w:sz w:val="20"/>
        </w:rPr>
      </w:pPr>
      <w:r>
        <w:rPr>
          <w:rFonts w:ascii="Arial" w:hAnsi="Arial" w:cs="Arial"/>
          <w:noProof/>
          <w:sz w:val="20"/>
        </w:rPr>
        <w:t>The resolution rate per Member State is the percentage of EU Pilot files handled for which the Commission accepted that Member State’ response. The chart shows the resolution rate for the last 5 years.</w:t>
      </w:r>
    </w:p>
    <w:p w:rsidR="00E26342" w:rsidRDefault="00040788">
      <w:pPr>
        <w:spacing w:after="200" w:line="276" w:lineRule="auto"/>
        <w:jc w:val="left"/>
        <w:rPr>
          <w:rFonts w:ascii="Arial" w:eastAsia="MS Gothic" w:hAnsi="Arial" w:cs="Arial"/>
          <w:bCs/>
          <w:noProof/>
          <w:color w:val="006FB4"/>
          <w:kern w:val="20"/>
          <w:sz w:val="20"/>
          <w:lang w:eastAsia="zh-CN"/>
        </w:rPr>
      </w:pPr>
      <w:r>
        <w:rPr>
          <w:rFonts w:ascii="Arial" w:eastAsia="MS Gothic" w:hAnsi="Arial" w:cs="Arial"/>
          <w:bCs/>
          <w:noProof/>
          <w:color w:val="006FB4"/>
          <w:kern w:val="20"/>
          <w:sz w:val="20"/>
          <w:lang w:eastAsia="zh-CN"/>
        </w:rPr>
        <w:br w:type="page"/>
      </w:r>
    </w:p>
    <w:p w:rsidR="00E26342" w:rsidRDefault="00040788">
      <w:pPr>
        <w:keepNext/>
        <w:keepLines/>
        <w:numPr>
          <w:ilvl w:val="1"/>
          <w:numId w:val="14"/>
        </w:numPr>
        <w:spacing w:after="120"/>
        <w:ind w:left="788" w:hanging="431"/>
        <w:outlineLvl w:val="2"/>
        <w:rPr>
          <w:rFonts w:ascii="Arial" w:eastAsia="MS Gothic" w:hAnsi="Arial" w:cs="Arial"/>
          <w:bCs/>
          <w:noProof/>
          <w:color w:val="006FB4"/>
          <w:kern w:val="20"/>
          <w:sz w:val="20"/>
          <w:lang w:eastAsia="zh-CN"/>
        </w:rPr>
      </w:pPr>
      <w:r>
        <w:rPr>
          <w:rFonts w:ascii="Arial" w:eastAsia="MS Gothic" w:hAnsi="Arial" w:cs="Arial"/>
          <w:bCs/>
          <w:noProof/>
          <w:color w:val="006FB4"/>
          <w:kern w:val="20"/>
          <w:sz w:val="20"/>
          <w:lang w:eastAsia="zh-CN"/>
        </w:rPr>
        <w:t>INFRINGEMENT CASES</w:t>
      </w:r>
    </w:p>
    <w:p w:rsidR="00E26342" w:rsidRDefault="00040788">
      <w:pPr>
        <w:rPr>
          <w:rFonts w:ascii="Arial" w:hAnsi="Arial" w:cs="Arial"/>
          <w:b/>
          <w:noProof/>
          <w:color w:val="002060"/>
          <w:sz w:val="20"/>
          <w:szCs w:val="22"/>
        </w:rPr>
      </w:pPr>
      <w:r>
        <w:rPr>
          <w:rFonts w:ascii="Arial" w:hAnsi="Arial" w:cs="Arial"/>
          <w:b/>
          <w:noProof/>
          <w:color w:val="002060"/>
          <w:sz w:val="20"/>
          <w:szCs w:val="22"/>
        </w:rPr>
        <w:t xml:space="preserve">First </w:t>
      </w:r>
      <w:r>
        <w:rPr>
          <w:rFonts w:ascii="Arial" w:hAnsi="Arial" w:cs="Arial"/>
          <w:b/>
          <w:noProof/>
          <w:color w:val="002060"/>
          <w:sz w:val="20"/>
          <w:szCs w:val="22"/>
        </w:rPr>
        <w:t>chart: Infringement cases against the Member State open on 31 December (2013-2017)</w:t>
      </w:r>
    </w:p>
    <w:p w:rsidR="00E26342" w:rsidRDefault="00040788">
      <w:pPr>
        <w:rPr>
          <w:rFonts w:ascii="Arial" w:hAnsi="Arial" w:cs="Arial"/>
          <w:noProof/>
          <w:sz w:val="20"/>
        </w:rPr>
      </w:pPr>
      <w:r>
        <w:rPr>
          <w:rFonts w:ascii="Arial" w:hAnsi="Arial" w:cs="Arial"/>
          <w:noProof/>
          <w:sz w:val="20"/>
        </w:rPr>
        <w:t>These figures include all procedures the Commission initiated against the Member State by sending a letter of formal notice under Article 258 TFEU. It covers letters sent in</w:t>
      </w:r>
      <w:r>
        <w:rPr>
          <w:rFonts w:ascii="Arial" w:hAnsi="Arial" w:cs="Arial"/>
          <w:noProof/>
          <w:sz w:val="20"/>
        </w:rPr>
        <w:t xml:space="preserve"> 2017 or before, irrespective of the stages the cases have reached. Only cases which have not yet been closed by a formal decision are shown. </w:t>
      </w:r>
    </w:p>
    <w:p w:rsidR="00E26342" w:rsidRDefault="00040788">
      <w:pPr>
        <w:rPr>
          <w:rFonts w:ascii="Arial" w:hAnsi="Arial" w:cs="Arial"/>
          <w:noProof/>
          <w:sz w:val="20"/>
        </w:rPr>
      </w:pPr>
      <w:r>
        <w:rPr>
          <w:rFonts w:ascii="Arial" w:hAnsi="Arial" w:cs="Arial"/>
          <w:noProof/>
          <w:sz w:val="20"/>
        </w:rPr>
        <w:t>Accordingly, these numbers include all cases that, on 31 December of the years 2013 to 2017:</w:t>
      </w:r>
    </w:p>
    <w:p w:rsidR="00E26342" w:rsidRDefault="00040788">
      <w:pPr>
        <w:numPr>
          <w:ilvl w:val="0"/>
          <w:numId w:val="13"/>
        </w:numPr>
        <w:ind w:left="714" w:hanging="357"/>
        <w:contextualSpacing/>
        <w:rPr>
          <w:rFonts w:ascii="Arial" w:eastAsia="Calibri" w:hAnsi="Arial" w:cs="Arial"/>
          <w:noProof/>
          <w:sz w:val="20"/>
        </w:rPr>
      </w:pPr>
      <w:r>
        <w:rPr>
          <w:rFonts w:ascii="Arial" w:eastAsia="Calibri" w:hAnsi="Arial" w:cs="Arial"/>
          <w:noProof/>
          <w:sz w:val="20"/>
        </w:rPr>
        <w:t>were in the pre-liti</w:t>
      </w:r>
      <w:r>
        <w:rPr>
          <w:rFonts w:ascii="Arial" w:eastAsia="Calibri" w:hAnsi="Arial" w:cs="Arial"/>
          <w:noProof/>
          <w:sz w:val="20"/>
        </w:rPr>
        <w:t>gation phase (letter of formal notice, reasoned opinion or decision on referral to the Court under Article 258 TFEU);</w:t>
      </w:r>
    </w:p>
    <w:p w:rsidR="00E26342" w:rsidRDefault="00040788">
      <w:pPr>
        <w:numPr>
          <w:ilvl w:val="0"/>
          <w:numId w:val="13"/>
        </w:numPr>
        <w:ind w:left="714" w:hanging="357"/>
        <w:contextualSpacing/>
        <w:rPr>
          <w:rFonts w:ascii="Arial" w:eastAsia="Calibri" w:hAnsi="Arial" w:cs="Arial"/>
          <w:noProof/>
          <w:sz w:val="20"/>
        </w:rPr>
      </w:pPr>
      <w:r>
        <w:rPr>
          <w:rFonts w:ascii="Arial" w:eastAsia="Calibri" w:hAnsi="Arial" w:cs="Arial"/>
          <w:noProof/>
          <w:sz w:val="20"/>
        </w:rPr>
        <w:t>were pending before the Court under Article 258 TFEU and Article 260(3) TFEU;</w:t>
      </w:r>
    </w:p>
    <w:p w:rsidR="00E26342" w:rsidRDefault="00040788">
      <w:pPr>
        <w:numPr>
          <w:ilvl w:val="0"/>
          <w:numId w:val="13"/>
        </w:numPr>
        <w:ind w:left="714" w:hanging="357"/>
        <w:contextualSpacing/>
        <w:rPr>
          <w:rFonts w:ascii="Arial" w:eastAsia="Calibri" w:hAnsi="Arial" w:cs="Arial"/>
          <w:noProof/>
          <w:sz w:val="20"/>
        </w:rPr>
      </w:pPr>
      <w:r>
        <w:rPr>
          <w:rFonts w:ascii="Arial" w:eastAsia="Calibri" w:hAnsi="Arial" w:cs="Arial"/>
          <w:noProof/>
          <w:sz w:val="20"/>
        </w:rPr>
        <w:t xml:space="preserve">the Court had ruled on but where the Commission could not </w:t>
      </w:r>
      <w:r>
        <w:rPr>
          <w:rFonts w:ascii="Arial" w:eastAsia="Calibri" w:hAnsi="Arial" w:cs="Arial"/>
          <w:noProof/>
          <w:sz w:val="20"/>
        </w:rPr>
        <w:t>yet confirm that the Member State had implemented the judgment correctly;</w:t>
      </w:r>
    </w:p>
    <w:p w:rsidR="00E26342" w:rsidRDefault="00040788">
      <w:pPr>
        <w:numPr>
          <w:ilvl w:val="0"/>
          <w:numId w:val="13"/>
        </w:numPr>
        <w:ind w:left="714" w:hanging="357"/>
        <w:contextualSpacing/>
        <w:rPr>
          <w:rFonts w:ascii="Arial" w:eastAsia="Calibri" w:hAnsi="Arial" w:cs="Arial"/>
          <w:noProof/>
          <w:sz w:val="20"/>
        </w:rPr>
      </w:pPr>
      <w:r>
        <w:rPr>
          <w:rFonts w:ascii="Arial" w:eastAsia="Calibri" w:hAnsi="Arial" w:cs="Arial"/>
          <w:noProof/>
          <w:sz w:val="20"/>
        </w:rPr>
        <w:t>were in the second pre-litigation procedure (letter of formal notice or referral decision under Article 260(2) TFEU);</w:t>
      </w:r>
    </w:p>
    <w:p w:rsidR="00E26342" w:rsidRDefault="00040788">
      <w:pPr>
        <w:numPr>
          <w:ilvl w:val="0"/>
          <w:numId w:val="13"/>
        </w:numPr>
        <w:ind w:left="714" w:hanging="357"/>
        <w:contextualSpacing/>
        <w:rPr>
          <w:rFonts w:ascii="Arial" w:eastAsia="Calibri" w:hAnsi="Arial" w:cs="Arial"/>
          <w:noProof/>
          <w:sz w:val="20"/>
        </w:rPr>
      </w:pPr>
      <w:r>
        <w:rPr>
          <w:rFonts w:ascii="Arial" w:eastAsia="Calibri" w:hAnsi="Arial" w:cs="Arial"/>
          <w:noProof/>
          <w:sz w:val="20"/>
        </w:rPr>
        <w:t>were pending before the Court due to a second referral; and</w:t>
      </w:r>
    </w:p>
    <w:p w:rsidR="00E26342" w:rsidRDefault="00040788">
      <w:pPr>
        <w:numPr>
          <w:ilvl w:val="0"/>
          <w:numId w:val="13"/>
        </w:numPr>
        <w:ind w:left="714" w:hanging="357"/>
        <w:contextualSpacing/>
        <w:rPr>
          <w:rFonts w:ascii="Arial" w:eastAsia="Calibri" w:hAnsi="Arial" w:cs="Arial"/>
          <w:noProof/>
          <w:sz w:val="20"/>
        </w:rPr>
      </w:pPr>
      <w:r>
        <w:rPr>
          <w:rFonts w:ascii="Arial" w:eastAsia="Calibri" w:hAnsi="Arial" w:cs="Arial"/>
          <w:noProof/>
          <w:sz w:val="20"/>
        </w:rPr>
        <w:t xml:space="preserve">the </w:t>
      </w:r>
      <w:r>
        <w:rPr>
          <w:rFonts w:ascii="Arial" w:eastAsia="Calibri" w:hAnsi="Arial" w:cs="Arial"/>
          <w:noProof/>
          <w:sz w:val="20"/>
        </w:rPr>
        <w:t>Court had ruled on for the second time but where the Commission could not yet confirm that the Member State had implemented the second judgment correctly.</w:t>
      </w:r>
    </w:p>
    <w:p w:rsidR="00E26342" w:rsidRDefault="00040788">
      <w:pPr>
        <w:rPr>
          <w:rFonts w:ascii="Arial" w:hAnsi="Arial" w:cs="Arial"/>
          <w:noProof/>
          <w:sz w:val="20"/>
        </w:rPr>
      </w:pPr>
      <w:r>
        <w:rPr>
          <w:rFonts w:ascii="Arial" w:hAnsi="Arial" w:cs="Arial"/>
          <w:noProof/>
          <w:sz w:val="20"/>
        </w:rPr>
        <w:t xml:space="preserve">These figures do </w:t>
      </w:r>
      <w:r>
        <w:rPr>
          <w:rFonts w:ascii="Arial" w:hAnsi="Arial" w:cs="Arial"/>
          <w:i/>
          <w:noProof/>
          <w:sz w:val="20"/>
        </w:rPr>
        <w:t xml:space="preserve">not </w:t>
      </w:r>
      <w:r>
        <w:rPr>
          <w:rFonts w:ascii="Arial" w:hAnsi="Arial" w:cs="Arial"/>
          <w:noProof/>
          <w:sz w:val="20"/>
        </w:rPr>
        <w:t>include, for example, open EU Pilot files in the policy area. They also do not i</w:t>
      </w:r>
      <w:r>
        <w:rPr>
          <w:rFonts w:ascii="Arial" w:hAnsi="Arial" w:cs="Arial"/>
          <w:noProof/>
          <w:sz w:val="20"/>
        </w:rPr>
        <w:t>nclude EU Pilot files for which the Commission had already rejected a Member State’s response but had not yet sent a letter of formal notice under Article 258 TFEU.</w:t>
      </w:r>
    </w:p>
    <w:p w:rsidR="00E26342" w:rsidRDefault="00040788">
      <w:pPr>
        <w:rPr>
          <w:rFonts w:ascii="Arial" w:hAnsi="Arial" w:cs="Arial"/>
          <w:b/>
          <w:noProof/>
          <w:color w:val="002060"/>
          <w:sz w:val="20"/>
          <w:szCs w:val="22"/>
        </w:rPr>
      </w:pPr>
      <w:r>
        <w:rPr>
          <w:rFonts w:ascii="Arial" w:hAnsi="Arial" w:cs="Arial"/>
          <w:b/>
          <w:noProof/>
          <w:color w:val="002060"/>
          <w:sz w:val="20"/>
          <w:szCs w:val="22"/>
        </w:rPr>
        <w:t>Second chart: New infringement cases opened in 2017: main policy areas</w:t>
      </w:r>
    </w:p>
    <w:p w:rsidR="00E26342" w:rsidRDefault="00040788">
      <w:pPr>
        <w:rPr>
          <w:rFonts w:ascii="Arial" w:hAnsi="Arial" w:cs="Arial"/>
          <w:noProof/>
          <w:sz w:val="20"/>
        </w:rPr>
      </w:pPr>
      <w:r>
        <w:rPr>
          <w:rFonts w:ascii="Arial" w:hAnsi="Arial" w:cs="Arial"/>
          <w:noProof/>
          <w:sz w:val="20"/>
        </w:rPr>
        <w:t>As a rule, this char</w:t>
      </w:r>
      <w:r>
        <w:rPr>
          <w:rFonts w:ascii="Arial" w:hAnsi="Arial" w:cs="Arial"/>
          <w:noProof/>
          <w:sz w:val="20"/>
        </w:rPr>
        <w:t xml:space="preserve">t shows the three policy areas in which the most infringements were open on 31 December 2017. Four (or more) policies are mentioned if two (or more) policies tied for the third highest number of open infringements. Only two policies are highlighted if too </w:t>
      </w:r>
      <w:r>
        <w:rPr>
          <w:rFonts w:ascii="Arial" w:hAnsi="Arial" w:cs="Arial"/>
          <w:noProof/>
          <w:sz w:val="20"/>
        </w:rPr>
        <w:t>many policies tied for the third highest number, or if this would make the chart very fragmented (this might occur in Member States with relatively few infringements).</w:t>
      </w:r>
    </w:p>
    <w:p w:rsidR="00E26342" w:rsidRDefault="00040788">
      <w:pPr>
        <w:rPr>
          <w:rFonts w:ascii="Arial" w:hAnsi="Arial" w:cs="Arial"/>
          <w:b/>
          <w:noProof/>
          <w:color w:val="002060"/>
          <w:sz w:val="20"/>
          <w:szCs w:val="22"/>
        </w:rPr>
      </w:pPr>
      <w:r>
        <w:rPr>
          <w:rFonts w:ascii="Arial" w:hAnsi="Arial" w:cs="Arial"/>
          <w:b/>
          <w:noProof/>
          <w:color w:val="002060"/>
          <w:sz w:val="20"/>
          <w:szCs w:val="22"/>
        </w:rPr>
        <w:t>Key infringement cases and referrals to the Court</w:t>
      </w:r>
    </w:p>
    <w:p w:rsidR="00E26342" w:rsidRDefault="00040788">
      <w:pPr>
        <w:rPr>
          <w:rFonts w:ascii="Arial" w:hAnsi="Arial" w:cs="Arial"/>
          <w:noProof/>
          <w:sz w:val="20"/>
        </w:rPr>
      </w:pPr>
      <w:r>
        <w:rPr>
          <w:rFonts w:ascii="Arial" w:hAnsi="Arial" w:cs="Arial"/>
          <w:noProof/>
          <w:sz w:val="20"/>
        </w:rPr>
        <w:t>This section has three parts:</w:t>
      </w:r>
    </w:p>
    <w:p w:rsidR="00E26342" w:rsidRDefault="00040788">
      <w:pPr>
        <w:rPr>
          <w:rFonts w:ascii="Arial" w:hAnsi="Arial" w:cs="Arial"/>
          <w:noProof/>
          <w:sz w:val="20"/>
        </w:rPr>
      </w:pPr>
      <w:r>
        <w:rPr>
          <w:rFonts w:ascii="Arial" w:hAnsi="Arial" w:cs="Arial"/>
          <w:noProof/>
          <w:sz w:val="20"/>
        </w:rPr>
        <w:t xml:space="preserve">Part a) </w:t>
      </w:r>
      <w:r>
        <w:rPr>
          <w:rFonts w:ascii="Arial" w:hAnsi="Arial" w:cs="Arial"/>
          <w:noProof/>
          <w:sz w:val="20"/>
        </w:rPr>
        <w:t>shows the number of new infringement cases opened against the Member State in 2017 and lists the major new and ongoing infringement cases at the stage of letters of formal notice or reasoned opinions (under Article 258 TFEU).</w:t>
      </w:r>
    </w:p>
    <w:p w:rsidR="00E26342" w:rsidRDefault="00040788">
      <w:pPr>
        <w:rPr>
          <w:rFonts w:ascii="Arial" w:hAnsi="Arial" w:cs="Arial"/>
          <w:noProof/>
          <w:sz w:val="20"/>
        </w:rPr>
      </w:pPr>
      <w:r>
        <w:rPr>
          <w:rFonts w:ascii="Arial" w:hAnsi="Arial" w:cs="Arial"/>
          <w:noProof/>
          <w:sz w:val="20"/>
        </w:rPr>
        <w:t xml:space="preserve">Part b) lists the cases which </w:t>
      </w:r>
      <w:r>
        <w:rPr>
          <w:rFonts w:ascii="Arial" w:hAnsi="Arial" w:cs="Arial"/>
          <w:noProof/>
          <w:sz w:val="20"/>
        </w:rPr>
        <w:t xml:space="preserve">the Commission referred to the Court solely under Article 258 TFEU by 31 December 2017. The cases submitted to the Court under Article 258 </w:t>
      </w:r>
      <w:r>
        <w:rPr>
          <w:rFonts w:ascii="Arial" w:hAnsi="Arial" w:cs="Arial"/>
          <w:i/>
          <w:noProof/>
          <w:sz w:val="20"/>
        </w:rPr>
        <w:t>and</w:t>
      </w:r>
      <w:r>
        <w:rPr>
          <w:rFonts w:ascii="Arial" w:hAnsi="Arial" w:cs="Arial"/>
          <w:noProof/>
          <w:sz w:val="20"/>
        </w:rPr>
        <w:t xml:space="preserve"> 260(3) TFEU are discussed in the ‘Transposition of directives’ section (see below).</w:t>
      </w:r>
    </w:p>
    <w:p w:rsidR="00E26342" w:rsidRDefault="00040788">
      <w:pPr>
        <w:rPr>
          <w:rFonts w:ascii="Arial" w:hAnsi="Arial" w:cs="Arial"/>
          <w:noProof/>
          <w:sz w:val="20"/>
        </w:rPr>
      </w:pPr>
      <w:r>
        <w:rPr>
          <w:rFonts w:ascii="Arial" w:hAnsi="Arial" w:cs="Arial"/>
          <w:noProof/>
          <w:sz w:val="20"/>
        </w:rPr>
        <w:t>Part c) lists the cases which</w:t>
      </w:r>
      <w:r>
        <w:rPr>
          <w:rFonts w:ascii="Arial" w:hAnsi="Arial" w:cs="Arial"/>
          <w:noProof/>
          <w:sz w:val="20"/>
        </w:rPr>
        <w:t xml:space="preserve"> the Commission referred to the Court under Article 260(2) TFEU by 31 December 2017.</w:t>
      </w:r>
    </w:p>
    <w:p w:rsidR="00E26342" w:rsidRDefault="00040788">
      <w:pPr>
        <w:spacing w:after="0"/>
        <w:jc w:val="left"/>
        <w:rPr>
          <w:rFonts w:ascii="Arial" w:eastAsia="MS Gothic" w:hAnsi="Arial" w:cs="Arial"/>
          <w:bCs/>
          <w:noProof/>
          <w:color w:val="006FB4"/>
          <w:kern w:val="20"/>
          <w:sz w:val="20"/>
          <w:lang w:eastAsia="zh-CN"/>
        </w:rPr>
      </w:pPr>
      <w:r>
        <w:rPr>
          <w:rFonts w:ascii="Arial" w:eastAsia="MS Gothic" w:hAnsi="Arial" w:cs="Arial"/>
          <w:bCs/>
          <w:noProof/>
          <w:color w:val="006FB4"/>
          <w:kern w:val="20"/>
          <w:sz w:val="20"/>
          <w:lang w:eastAsia="zh-CN"/>
        </w:rPr>
        <w:br w:type="page"/>
      </w:r>
    </w:p>
    <w:p w:rsidR="00E26342" w:rsidRDefault="00040788">
      <w:pPr>
        <w:keepNext/>
        <w:keepLines/>
        <w:numPr>
          <w:ilvl w:val="1"/>
          <w:numId w:val="14"/>
        </w:numPr>
        <w:spacing w:after="120"/>
        <w:ind w:left="788" w:hanging="431"/>
        <w:outlineLvl w:val="2"/>
        <w:rPr>
          <w:rFonts w:ascii="Arial" w:eastAsia="MS Gothic" w:hAnsi="Arial" w:cs="Arial"/>
          <w:bCs/>
          <w:noProof/>
          <w:color w:val="006FB4"/>
          <w:kern w:val="20"/>
          <w:sz w:val="20"/>
          <w:lang w:eastAsia="zh-CN"/>
        </w:rPr>
      </w:pPr>
      <w:r>
        <w:rPr>
          <w:rFonts w:ascii="Arial" w:eastAsia="MS Gothic" w:hAnsi="Arial" w:cs="Arial"/>
          <w:bCs/>
          <w:noProof/>
          <w:color w:val="006FB4"/>
          <w:kern w:val="20"/>
          <w:sz w:val="20"/>
          <w:lang w:eastAsia="zh-CN"/>
        </w:rPr>
        <w:t>TRANSPOSITION OF DIRECTIVES</w:t>
      </w:r>
    </w:p>
    <w:p w:rsidR="00E26342" w:rsidRDefault="00040788">
      <w:pPr>
        <w:rPr>
          <w:rFonts w:ascii="Arial" w:hAnsi="Arial" w:cs="Arial"/>
          <w:b/>
          <w:noProof/>
          <w:color w:val="002060"/>
          <w:sz w:val="20"/>
          <w:szCs w:val="22"/>
        </w:rPr>
      </w:pPr>
      <w:r>
        <w:rPr>
          <w:rFonts w:ascii="Arial" w:hAnsi="Arial" w:cs="Arial"/>
          <w:b/>
          <w:noProof/>
          <w:color w:val="002060"/>
          <w:sz w:val="20"/>
          <w:szCs w:val="22"/>
        </w:rPr>
        <w:t>First chart: Late transposition infringement cases against the Member State open on 31 December (2013-2017)</w:t>
      </w:r>
    </w:p>
    <w:p w:rsidR="00E26342" w:rsidRDefault="00040788">
      <w:pPr>
        <w:rPr>
          <w:rFonts w:ascii="Arial" w:hAnsi="Arial" w:cs="Arial"/>
          <w:noProof/>
          <w:sz w:val="20"/>
        </w:rPr>
      </w:pPr>
      <w:r>
        <w:rPr>
          <w:rFonts w:ascii="Arial" w:hAnsi="Arial" w:cs="Arial"/>
          <w:noProof/>
          <w:sz w:val="20"/>
        </w:rPr>
        <w:t xml:space="preserve">This shows the number of letters </w:t>
      </w:r>
      <w:r>
        <w:rPr>
          <w:rFonts w:ascii="Arial" w:hAnsi="Arial" w:cs="Arial"/>
          <w:noProof/>
          <w:sz w:val="20"/>
        </w:rPr>
        <w:t xml:space="preserve">of formal notice sent to the Member State under Article 258 TFEU for missing or partial notification of national transposition measures. It covers letters sent in 2017 or before, irrespective of the stages the cases have reached. Only cases which have not </w:t>
      </w:r>
      <w:r>
        <w:rPr>
          <w:rFonts w:ascii="Arial" w:hAnsi="Arial" w:cs="Arial"/>
          <w:noProof/>
          <w:sz w:val="20"/>
        </w:rPr>
        <w:t>yet been closed by a formal decision are shown.</w:t>
      </w:r>
    </w:p>
    <w:p w:rsidR="00E26342" w:rsidRDefault="00040788">
      <w:pPr>
        <w:rPr>
          <w:rFonts w:ascii="Arial" w:hAnsi="Arial" w:cs="Arial"/>
          <w:noProof/>
          <w:sz w:val="20"/>
        </w:rPr>
      </w:pPr>
      <w:r>
        <w:rPr>
          <w:rFonts w:ascii="Arial" w:hAnsi="Arial" w:cs="Arial"/>
          <w:noProof/>
          <w:sz w:val="20"/>
        </w:rPr>
        <w:t>Accordingly, the number includes all cases that, on 31 December of the years 2013 to 2017:</w:t>
      </w:r>
    </w:p>
    <w:p w:rsidR="00E26342" w:rsidRDefault="00040788">
      <w:pPr>
        <w:numPr>
          <w:ilvl w:val="0"/>
          <w:numId w:val="15"/>
        </w:numPr>
        <w:ind w:left="714" w:hanging="357"/>
        <w:contextualSpacing/>
        <w:rPr>
          <w:rFonts w:ascii="Arial" w:hAnsi="Arial" w:cs="Arial"/>
          <w:noProof/>
          <w:sz w:val="20"/>
        </w:rPr>
      </w:pPr>
      <w:r>
        <w:rPr>
          <w:rFonts w:ascii="Arial" w:hAnsi="Arial" w:cs="Arial"/>
          <w:noProof/>
          <w:sz w:val="20"/>
        </w:rPr>
        <w:t>were in the pre-litigation phase (letter of formal notice, reasoned opinion or decision on referral to the Court unde</w:t>
      </w:r>
      <w:r>
        <w:rPr>
          <w:rFonts w:ascii="Arial" w:hAnsi="Arial" w:cs="Arial"/>
          <w:noProof/>
          <w:sz w:val="20"/>
        </w:rPr>
        <w:t>r Article 258 TFEU and Article 260(3) TFEU);</w:t>
      </w:r>
    </w:p>
    <w:p w:rsidR="00E26342" w:rsidRDefault="00040788">
      <w:pPr>
        <w:numPr>
          <w:ilvl w:val="0"/>
          <w:numId w:val="15"/>
        </w:numPr>
        <w:ind w:left="714" w:hanging="357"/>
        <w:contextualSpacing/>
        <w:rPr>
          <w:rFonts w:ascii="Arial" w:eastAsia="Calibri" w:hAnsi="Arial" w:cs="Arial"/>
          <w:noProof/>
          <w:sz w:val="20"/>
        </w:rPr>
      </w:pPr>
      <w:r>
        <w:rPr>
          <w:rFonts w:ascii="Arial" w:hAnsi="Arial" w:cs="Arial"/>
          <w:noProof/>
          <w:sz w:val="20"/>
        </w:rPr>
        <w:t>were pending before the Court under Article 258 TFEU and Article 260(3) TFEU.</w:t>
      </w:r>
    </w:p>
    <w:p w:rsidR="00E26342" w:rsidRDefault="00E26342">
      <w:pPr>
        <w:ind w:left="714"/>
        <w:contextualSpacing/>
        <w:rPr>
          <w:rFonts w:ascii="Arial" w:eastAsia="Calibri" w:hAnsi="Arial" w:cs="Arial"/>
          <w:noProof/>
          <w:sz w:val="20"/>
        </w:rPr>
      </w:pPr>
    </w:p>
    <w:p w:rsidR="00E26342" w:rsidRDefault="00040788">
      <w:pPr>
        <w:rPr>
          <w:rFonts w:ascii="Arial" w:hAnsi="Arial" w:cs="Arial"/>
          <w:noProof/>
          <w:sz w:val="20"/>
        </w:rPr>
      </w:pPr>
      <w:r>
        <w:rPr>
          <w:rFonts w:ascii="Arial" w:hAnsi="Arial" w:cs="Arial"/>
          <w:noProof/>
          <w:sz w:val="20"/>
        </w:rPr>
        <w:t>This figure is already included in the total number of infringement cases open against the Member State in 2017. It should therefore</w:t>
      </w:r>
      <w:r>
        <w:rPr>
          <w:rFonts w:ascii="Arial" w:hAnsi="Arial" w:cs="Arial"/>
          <w:noProof/>
          <w:sz w:val="20"/>
        </w:rPr>
        <w:t xml:space="preserve"> </w:t>
      </w:r>
      <w:r>
        <w:rPr>
          <w:rFonts w:ascii="Arial" w:hAnsi="Arial" w:cs="Arial"/>
          <w:i/>
          <w:noProof/>
          <w:sz w:val="20"/>
        </w:rPr>
        <w:t>not</w:t>
      </w:r>
      <w:r>
        <w:rPr>
          <w:rFonts w:ascii="Arial" w:hAnsi="Arial" w:cs="Arial"/>
          <w:noProof/>
          <w:sz w:val="20"/>
        </w:rPr>
        <w:t xml:space="preserve"> be added to the figure shown in the first chart of the general statistics section.</w:t>
      </w:r>
    </w:p>
    <w:p w:rsidR="00E26342" w:rsidRDefault="00040788">
      <w:pPr>
        <w:rPr>
          <w:rFonts w:ascii="Arial" w:hAnsi="Arial" w:cs="Arial"/>
          <w:b/>
          <w:noProof/>
          <w:color w:val="002060"/>
          <w:sz w:val="20"/>
          <w:szCs w:val="22"/>
        </w:rPr>
      </w:pPr>
      <w:r>
        <w:rPr>
          <w:rFonts w:ascii="Arial" w:hAnsi="Arial" w:cs="Arial"/>
          <w:b/>
          <w:noProof/>
          <w:color w:val="002060"/>
          <w:sz w:val="20"/>
          <w:szCs w:val="22"/>
        </w:rPr>
        <w:t>Second chart: New late transposition infringement cases against the Member State (2013-2017)</w:t>
      </w:r>
    </w:p>
    <w:p w:rsidR="00E26342" w:rsidRDefault="00040788">
      <w:pPr>
        <w:rPr>
          <w:rFonts w:ascii="Arial" w:hAnsi="Arial" w:cs="Arial"/>
          <w:noProof/>
          <w:sz w:val="20"/>
        </w:rPr>
      </w:pPr>
      <w:r>
        <w:rPr>
          <w:rFonts w:ascii="Arial" w:hAnsi="Arial" w:cs="Arial"/>
          <w:noProof/>
          <w:sz w:val="20"/>
        </w:rPr>
        <w:t>This shows the number of new letters of formal notice sent in 2017 to the Member State under Article 258 TFEU for missing or partial notifications of national transposition measures. This figure is already included in the total number of new infringement c</w:t>
      </w:r>
      <w:r>
        <w:rPr>
          <w:rFonts w:ascii="Arial" w:hAnsi="Arial" w:cs="Arial"/>
          <w:noProof/>
          <w:sz w:val="20"/>
        </w:rPr>
        <w:t xml:space="preserve">ases initiated against the Member State in 2017. It should therefore </w:t>
      </w:r>
      <w:r>
        <w:rPr>
          <w:rFonts w:ascii="Arial" w:hAnsi="Arial" w:cs="Arial"/>
          <w:i/>
          <w:noProof/>
          <w:sz w:val="20"/>
        </w:rPr>
        <w:t>not</w:t>
      </w:r>
      <w:r>
        <w:rPr>
          <w:rFonts w:ascii="Arial" w:hAnsi="Arial" w:cs="Arial"/>
          <w:noProof/>
          <w:sz w:val="20"/>
        </w:rPr>
        <w:t xml:space="preserve"> be added to the figure shown in the second chart of the general statistics section.</w:t>
      </w:r>
    </w:p>
    <w:p w:rsidR="00E26342" w:rsidRDefault="00040788">
      <w:pPr>
        <w:rPr>
          <w:rFonts w:ascii="Arial" w:hAnsi="Arial" w:cs="Arial"/>
          <w:noProof/>
          <w:sz w:val="20"/>
        </w:rPr>
      </w:pPr>
      <w:r>
        <w:rPr>
          <w:rFonts w:ascii="Arial" w:hAnsi="Arial" w:cs="Arial"/>
          <w:noProof/>
          <w:sz w:val="20"/>
        </w:rPr>
        <w:t>Please note that not all of these new infringement cases for late transposition were necessarily st</w:t>
      </w:r>
      <w:r>
        <w:rPr>
          <w:rFonts w:ascii="Arial" w:hAnsi="Arial" w:cs="Arial"/>
          <w:noProof/>
          <w:sz w:val="20"/>
        </w:rPr>
        <w:t xml:space="preserve">ill open on 31 December 2017. For example, if the Commission opened a late transposition infringement procedure in March 2017 by sending a letter of formal notice, this would be added to the new infringement cases even if the Commission closed the case in </w:t>
      </w:r>
      <w:r>
        <w:rPr>
          <w:rFonts w:ascii="Arial" w:hAnsi="Arial" w:cs="Arial"/>
          <w:noProof/>
          <w:sz w:val="20"/>
        </w:rPr>
        <w:t>October 2017 as a result of the Member State notifying complete transposition.</w:t>
      </w:r>
    </w:p>
    <w:p w:rsidR="00E26342" w:rsidRDefault="00040788">
      <w:pPr>
        <w:rPr>
          <w:rFonts w:ascii="Arial" w:hAnsi="Arial" w:cs="Arial"/>
          <w:b/>
          <w:noProof/>
          <w:color w:val="002060"/>
          <w:sz w:val="20"/>
          <w:szCs w:val="22"/>
        </w:rPr>
      </w:pPr>
      <w:r>
        <w:rPr>
          <w:rFonts w:ascii="Arial" w:hAnsi="Arial" w:cs="Arial"/>
          <w:b/>
          <w:noProof/>
          <w:color w:val="002060"/>
          <w:sz w:val="20"/>
          <w:szCs w:val="22"/>
        </w:rPr>
        <w:t>Third chart: New late transposition infringement cases opened in 2017: main policy areas</w:t>
      </w:r>
    </w:p>
    <w:p w:rsidR="00E26342" w:rsidRDefault="00040788">
      <w:pPr>
        <w:rPr>
          <w:rFonts w:ascii="Arial" w:hAnsi="Arial" w:cs="Arial"/>
          <w:noProof/>
          <w:sz w:val="20"/>
        </w:rPr>
      </w:pPr>
      <w:r>
        <w:rPr>
          <w:rFonts w:ascii="Arial" w:hAnsi="Arial" w:cs="Arial"/>
          <w:noProof/>
          <w:sz w:val="20"/>
        </w:rPr>
        <w:t>As a rule, this chart shows the three policy areas in which the most infringement proced</w:t>
      </w:r>
      <w:r>
        <w:rPr>
          <w:rFonts w:ascii="Arial" w:hAnsi="Arial" w:cs="Arial"/>
          <w:noProof/>
          <w:sz w:val="20"/>
        </w:rPr>
        <w:t>ures for late transposition were launched in 2017. Four (or more) policies are mentioned if two (or more) policies tied for the third highest number of open infringements. Only two policy areas are highlighted if too many policy areas tied for the third hi</w:t>
      </w:r>
      <w:r>
        <w:rPr>
          <w:rFonts w:ascii="Arial" w:hAnsi="Arial" w:cs="Arial"/>
          <w:noProof/>
          <w:sz w:val="20"/>
        </w:rPr>
        <w:t>ghest number, or if this would make the chart very fragmented (this might occur in Member States with relatively few infringements).</w:t>
      </w:r>
    </w:p>
    <w:p w:rsidR="00E26342" w:rsidRDefault="00040788">
      <w:pPr>
        <w:rPr>
          <w:rFonts w:ascii="Arial" w:hAnsi="Arial" w:cs="Arial"/>
          <w:b/>
          <w:noProof/>
          <w:color w:val="002060"/>
          <w:sz w:val="20"/>
          <w:szCs w:val="22"/>
        </w:rPr>
      </w:pPr>
      <w:r>
        <w:rPr>
          <w:rFonts w:ascii="Arial" w:hAnsi="Arial" w:cs="Arial"/>
          <w:b/>
          <w:noProof/>
          <w:color w:val="002060"/>
          <w:sz w:val="20"/>
          <w:szCs w:val="22"/>
        </w:rPr>
        <w:t>Referrals to the Court</w:t>
      </w:r>
    </w:p>
    <w:p w:rsidR="00E26342" w:rsidRDefault="00040788">
      <w:pPr>
        <w:rPr>
          <w:rFonts w:ascii="Arial" w:hAnsi="Arial" w:cs="Arial"/>
          <w:noProof/>
          <w:sz w:val="20"/>
        </w:rPr>
      </w:pPr>
      <w:r>
        <w:rPr>
          <w:rFonts w:ascii="Arial" w:hAnsi="Arial" w:cs="Arial"/>
          <w:noProof/>
          <w:sz w:val="20"/>
        </w:rPr>
        <w:t xml:space="preserve">This section contains the cases which the Commission referred to the Court under Article 258 TFEU </w:t>
      </w:r>
      <w:r>
        <w:rPr>
          <w:rFonts w:ascii="Arial" w:hAnsi="Arial" w:cs="Arial"/>
          <w:noProof/>
          <w:sz w:val="20"/>
        </w:rPr>
        <w:t>and Article 260(3) by 31 December 2017.</w:t>
      </w:r>
    </w:p>
    <w:p w:rsidR="00E26342" w:rsidRDefault="00040788">
      <w:pPr>
        <w:keepNext/>
        <w:keepLines/>
        <w:numPr>
          <w:ilvl w:val="1"/>
          <w:numId w:val="14"/>
        </w:numPr>
        <w:spacing w:after="120"/>
        <w:ind w:left="788" w:hanging="431"/>
        <w:outlineLvl w:val="2"/>
        <w:rPr>
          <w:rFonts w:ascii="Arial" w:eastAsia="MS Gothic" w:hAnsi="Arial" w:cs="Arial"/>
          <w:bCs/>
          <w:noProof/>
          <w:color w:val="006FB4"/>
          <w:kern w:val="20"/>
          <w:sz w:val="20"/>
          <w:lang w:eastAsia="zh-CN"/>
        </w:rPr>
      </w:pPr>
      <w:r>
        <w:rPr>
          <w:rFonts w:ascii="Arial" w:eastAsia="MS Gothic" w:hAnsi="Arial" w:cs="Arial"/>
          <w:bCs/>
          <w:noProof/>
          <w:color w:val="006FB4"/>
          <w:kern w:val="20"/>
          <w:sz w:val="20"/>
          <w:lang w:eastAsia="zh-CN"/>
        </w:rPr>
        <w:t>EARLY RESOLUTION OF INFRINGEMENT CASES</w:t>
      </w:r>
    </w:p>
    <w:p w:rsidR="00E26342" w:rsidRDefault="00040788">
      <w:pPr>
        <w:rPr>
          <w:rFonts w:ascii="Arial" w:hAnsi="Arial" w:cs="Arial"/>
          <w:b/>
          <w:noProof/>
          <w:color w:val="002060"/>
          <w:sz w:val="20"/>
          <w:szCs w:val="22"/>
        </w:rPr>
      </w:pPr>
      <w:r>
        <w:rPr>
          <w:rFonts w:ascii="Arial" w:hAnsi="Arial" w:cs="Arial"/>
          <w:b/>
          <w:noProof/>
          <w:color w:val="002060"/>
          <w:sz w:val="20"/>
          <w:szCs w:val="22"/>
        </w:rPr>
        <w:t>Major cases closed without a Court judgment in 2017</w:t>
      </w:r>
    </w:p>
    <w:p w:rsidR="00E26342" w:rsidRDefault="00040788">
      <w:pPr>
        <w:rPr>
          <w:rFonts w:ascii="Arial" w:hAnsi="Arial" w:cs="Arial"/>
          <w:noProof/>
          <w:sz w:val="20"/>
        </w:rPr>
      </w:pPr>
      <w:r>
        <w:rPr>
          <w:rFonts w:ascii="Arial" w:hAnsi="Arial" w:cs="Arial"/>
          <w:noProof/>
          <w:sz w:val="20"/>
        </w:rPr>
        <w:t>This section contains a list of the major infringement cases the Commission closed in 2017 without a Court judgment. The list</w:t>
      </w:r>
      <w:r>
        <w:rPr>
          <w:rFonts w:ascii="Arial" w:hAnsi="Arial" w:cs="Arial"/>
          <w:noProof/>
          <w:sz w:val="20"/>
        </w:rPr>
        <w:t xml:space="preserve"> is not exhaustive.</w:t>
      </w:r>
    </w:p>
    <w:p w:rsidR="00E26342" w:rsidRDefault="00040788">
      <w:pPr>
        <w:keepNext/>
        <w:keepLines/>
        <w:numPr>
          <w:ilvl w:val="1"/>
          <w:numId w:val="14"/>
        </w:numPr>
        <w:spacing w:after="120"/>
        <w:ind w:left="788" w:hanging="431"/>
        <w:outlineLvl w:val="2"/>
        <w:rPr>
          <w:rFonts w:ascii="Arial" w:eastAsia="MS Gothic" w:hAnsi="Arial" w:cs="Arial"/>
          <w:bCs/>
          <w:noProof/>
          <w:color w:val="006FB4"/>
          <w:kern w:val="20"/>
          <w:sz w:val="20"/>
          <w:lang w:eastAsia="zh-CN"/>
        </w:rPr>
      </w:pPr>
      <w:r>
        <w:rPr>
          <w:rFonts w:ascii="Arial" w:eastAsia="MS Gothic" w:hAnsi="Arial" w:cs="Arial"/>
          <w:bCs/>
          <w:noProof/>
          <w:color w:val="006FB4"/>
          <w:kern w:val="20"/>
          <w:sz w:val="20"/>
          <w:lang w:eastAsia="zh-CN"/>
        </w:rPr>
        <w:t>IMPORTANT JUDGMENTS</w:t>
      </w:r>
    </w:p>
    <w:p w:rsidR="00E26342" w:rsidRDefault="00040788">
      <w:pPr>
        <w:rPr>
          <w:rFonts w:ascii="Arial" w:hAnsi="Arial" w:cs="Arial"/>
          <w:noProof/>
          <w:sz w:val="20"/>
        </w:rPr>
      </w:pPr>
      <w:r>
        <w:rPr>
          <w:rFonts w:ascii="Arial" w:hAnsi="Arial" w:cs="Arial"/>
          <w:noProof/>
          <w:sz w:val="20"/>
        </w:rPr>
        <w:t>This section contains two lists:</w:t>
      </w:r>
    </w:p>
    <w:p w:rsidR="00E26342" w:rsidRDefault="00040788">
      <w:pPr>
        <w:rPr>
          <w:rFonts w:ascii="Arial" w:hAnsi="Arial" w:cs="Arial"/>
          <w:noProof/>
          <w:sz w:val="20"/>
        </w:rPr>
      </w:pPr>
      <w:r>
        <w:rPr>
          <w:rFonts w:ascii="Arial" w:hAnsi="Arial" w:cs="Arial"/>
          <w:noProof/>
          <w:sz w:val="20"/>
        </w:rPr>
        <w:t xml:space="preserve">The first list contains the Court’s most important judgments against the Member State in 2017. These judgments are almost exclusively handed down under Article 258 or Articles 260(2) </w:t>
      </w:r>
      <w:r>
        <w:rPr>
          <w:rFonts w:ascii="Arial" w:hAnsi="Arial" w:cs="Arial"/>
          <w:noProof/>
          <w:sz w:val="20"/>
        </w:rPr>
        <w:t>TFEU.</w:t>
      </w:r>
    </w:p>
    <w:p w:rsidR="00E26342" w:rsidRDefault="00040788">
      <w:pPr>
        <w:rPr>
          <w:rFonts w:ascii="Arial" w:hAnsi="Arial" w:cs="Arial"/>
          <w:noProof/>
          <w:sz w:val="20"/>
        </w:rPr>
      </w:pPr>
      <w:r>
        <w:rPr>
          <w:rFonts w:ascii="Arial" w:hAnsi="Arial" w:cs="Arial"/>
          <w:noProof/>
          <w:sz w:val="20"/>
        </w:rPr>
        <w:t>The second list contains the most important preliminary rulings the Court has issued to the Member State’s judiciary. These lists are not necessarily exhaustive.</w:t>
      </w:r>
    </w:p>
    <w:sectPr w:rsidR="00E26342">
      <w:headerReference w:type="even" r:id="rId240"/>
      <w:headerReference w:type="default" r:id="rId241"/>
      <w:footerReference w:type="even" r:id="rId242"/>
      <w:footerReference w:type="default" r:id="rId243"/>
      <w:headerReference w:type="first" r:id="rId244"/>
      <w:footerReference w:type="first" r:id="rId245"/>
      <w:pgSz w:w="11906" w:h="16838"/>
      <w:pgMar w:top="1985"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6342" w:rsidRDefault="00040788">
      <w:pPr>
        <w:spacing w:after="0"/>
      </w:pPr>
      <w:r>
        <w:separator/>
      </w:r>
    </w:p>
  </w:endnote>
  <w:endnote w:type="continuationSeparator" w:id="0">
    <w:p w:rsidR="00E26342" w:rsidRDefault="00040788">
      <w:pPr>
        <w:spacing w:after="0"/>
      </w:pPr>
      <w:r>
        <w:continuationSeparator/>
      </w:r>
    </w:p>
  </w:endnote>
  <w:endnote w:type="continuationNotice" w:id="1">
    <w:p w:rsidR="00E26342" w:rsidRDefault="00E2634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Angsana New">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788" w:rsidRPr="00040788" w:rsidRDefault="00040788" w:rsidP="00040788">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342" w:rsidRDefault="00E26342">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342" w:rsidRDefault="00040788">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124</w:t>
    </w:r>
    <w:r>
      <w:rPr>
        <w:rFonts w:ascii="Arial" w:hAnsi="Arial" w:cs="Arial"/>
        <w:sz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342" w:rsidRDefault="00040788">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119</w:t>
    </w:r>
    <w:r>
      <w:rPr>
        <w:rFonts w:ascii="Arial" w:hAnsi="Arial" w:cs="Arial"/>
        <w:sz w:val="18"/>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342" w:rsidRDefault="00E26342">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342" w:rsidRDefault="00040788">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131</w:t>
    </w:r>
    <w:r>
      <w:rPr>
        <w:rFonts w:ascii="Arial" w:hAnsi="Arial" w:cs="Arial"/>
        <w:sz w:val="18"/>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342" w:rsidRDefault="00040788">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125</w:t>
    </w:r>
    <w:r>
      <w:rPr>
        <w:rFonts w:ascii="Arial" w:hAnsi="Arial" w:cs="Arial"/>
        <w:sz w:val="18"/>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342" w:rsidRDefault="00E26342">
    <w:pPr>
      <w:pStyle w:val="Footer"/>
    </w:pPr>
  </w:p>
  <w:p w:rsidR="00E26342" w:rsidRDefault="00E26342"/>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342" w:rsidRDefault="00040788">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138</w:t>
    </w:r>
    <w:r>
      <w:rPr>
        <w:rFonts w:ascii="Arial" w:hAnsi="Arial" w:cs="Arial"/>
        <w:sz w:val="18"/>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342" w:rsidRDefault="00040788">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132</w:t>
    </w:r>
    <w:r>
      <w:rPr>
        <w:rFonts w:ascii="Arial" w:hAnsi="Arial" w:cs="Arial"/>
        <w:sz w:val="18"/>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342" w:rsidRDefault="00E26342">
    <w:pPr>
      <w:pStyle w:val="Footer"/>
    </w:pPr>
  </w:p>
  <w:p w:rsidR="00E26342" w:rsidRDefault="00E263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788" w:rsidRPr="00040788" w:rsidRDefault="00040788" w:rsidP="00040788">
    <w:pPr>
      <w:pStyle w:val="FooterCoverPage"/>
      <w:rPr>
        <w:rFonts w:ascii="Arial" w:hAnsi="Arial" w:cs="Arial"/>
        <w:b/>
        <w:sz w:val="48"/>
      </w:rPr>
    </w:pPr>
    <w:r w:rsidRPr="00040788">
      <w:rPr>
        <w:rFonts w:ascii="Arial" w:hAnsi="Arial" w:cs="Arial"/>
        <w:b/>
        <w:sz w:val="48"/>
      </w:rPr>
      <w:t>EN</w:t>
    </w:r>
    <w:r w:rsidRPr="00040788">
      <w:rPr>
        <w:rFonts w:ascii="Arial" w:hAnsi="Arial" w:cs="Arial"/>
        <w:b/>
        <w:sz w:val="48"/>
      </w:rPr>
      <w:tab/>
    </w:r>
    <w:r w:rsidRPr="00040788">
      <w:rPr>
        <w:rFonts w:ascii="Arial" w:hAnsi="Arial" w:cs="Arial"/>
        <w:b/>
        <w:sz w:val="48"/>
      </w:rPr>
      <w:tab/>
    </w:r>
    <w:r w:rsidRPr="00040788">
      <w:tab/>
    </w:r>
    <w:r w:rsidRPr="00040788">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342" w:rsidRDefault="00040788">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145</w:t>
    </w:r>
    <w:r>
      <w:rPr>
        <w:rFonts w:ascii="Arial" w:hAnsi="Arial" w:cs="Arial"/>
        <w:sz w:val="18"/>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342" w:rsidRDefault="00040788">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139</w:t>
    </w:r>
    <w:r>
      <w:rPr>
        <w:rFonts w:ascii="Arial" w:hAnsi="Arial" w:cs="Arial"/>
        <w:sz w:val="18"/>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342" w:rsidRDefault="00E26342">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342" w:rsidRDefault="00040788">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w:instrText>
    </w:r>
    <w:r>
      <w:rPr>
        <w:rFonts w:ascii="Arial" w:hAnsi="Arial" w:cs="Arial"/>
        <w:sz w:val="18"/>
      </w:rPr>
      <w:instrText xml:space="preserve">MAT </w:instrText>
    </w:r>
    <w:r>
      <w:rPr>
        <w:rFonts w:ascii="Arial" w:hAnsi="Arial" w:cs="Arial"/>
        <w:sz w:val="18"/>
      </w:rPr>
      <w:fldChar w:fldCharType="separate"/>
    </w:r>
    <w:r>
      <w:rPr>
        <w:rFonts w:ascii="Arial" w:hAnsi="Arial" w:cs="Arial"/>
        <w:noProof/>
        <w:sz w:val="18"/>
      </w:rPr>
      <w:t>152</w:t>
    </w:r>
    <w:r>
      <w:rPr>
        <w:rFonts w:ascii="Arial" w:hAnsi="Arial" w:cs="Arial"/>
        <w:sz w:val="18"/>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342" w:rsidRDefault="00040788">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146</w:t>
    </w:r>
    <w:r>
      <w:rPr>
        <w:rFonts w:ascii="Arial" w:hAnsi="Arial" w:cs="Arial"/>
        <w:sz w:val="18"/>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342" w:rsidRDefault="00E26342">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342" w:rsidRDefault="00040788">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159</w:t>
    </w:r>
    <w:r>
      <w:rPr>
        <w:rFonts w:ascii="Arial" w:hAnsi="Arial" w:cs="Arial"/>
        <w:sz w:val="18"/>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342" w:rsidRDefault="00040788">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153</w:t>
    </w:r>
    <w:r>
      <w:rPr>
        <w:rFonts w:ascii="Arial" w:hAnsi="Arial" w:cs="Arial"/>
        <w:sz w:val="18"/>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342" w:rsidRDefault="00E26342">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342" w:rsidRDefault="00040788">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165</w:t>
    </w:r>
    <w:r>
      <w:rPr>
        <w:rFonts w:ascii="Arial" w:hAnsi="Arial" w:cs="Arial"/>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788" w:rsidRPr="00040788" w:rsidRDefault="00040788" w:rsidP="00040788">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342" w:rsidRDefault="00040788">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160</w:t>
    </w:r>
    <w:r>
      <w:rPr>
        <w:rFonts w:ascii="Arial" w:hAnsi="Arial" w:cs="Arial"/>
        <w:sz w:val="18"/>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342" w:rsidRDefault="00E26342">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342" w:rsidRDefault="00040788">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171</w:t>
    </w:r>
    <w:r>
      <w:rPr>
        <w:rFonts w:ascii="Arial" w:hAnsi="Arial" w:cs="Arial"/>
        <w:sz w:val="18"/>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342" w:rsidRDefault="00040788">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166</w:t>
    </w:r>
    <w:r>
      <w:rPr>
        <w:rFonts w:ascii="Arial" w:hAnsi="Arial" w:cs="Arial"/>
        <w:sz w:val="18"/>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342" w:rsidRDefault="00E26342">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342" w:rsidRDefault="00040788">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177</w:t>
    </w:r>
    <w:r>
      <w:rPr>
        <w:rFonts w:ascii="Arial" w:hAnsi="Arial" w:cs="Arial"/>
        <w:sz w:val="18"/>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342" w:rsidRDefault="00040788">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172</w:t>
    </w:r>
    <w:r>
      <w:rPr>
        <w:rFonts w:ascii="Arial" w:hAnsi="Arial" w:cs="Arial"/>
        <w:sz w:val="18"/>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342" w:rsidRDefault="00E26342">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342" w:rsidRDefault="00040788">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183</w:t>
    </w:r>
    <w:r>
      <w:rPr>
        <w:rFonts w:ascii="Arial" w:hAnsi="Arial" w:cs="Arial"/>
        <w:sz w:val="18"/>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342" w:rsidRDefault="00040788">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178</w:t>
    </w:r>
    <w:r>
      <w:rPr>
        <w:rFonts w:ascii="Arial" w:hAnsi="Arial" w:cs="Arial"/>
        <w:sz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342" w:rsidRDefault="00E26342">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342" w:rsidRDefault="00E26342">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342" w:rsidRDefault="00040788">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190</w:t>
    </w:r>
    <w:r>
      <w:rPr>
        <w:rFonts w:ascii="Arial" w:hAnsi="Arial" w:cs="Arial"/>
        <w:sz w:val="18"/>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342" w:rsidRDefault="00040788">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184</w:t>
    </w:r>
    <w:r>
      <w:rPr>
        <w:rFonts w:ascii="Arial" w:hAnsi="Arial" w:cs="Arial"/>
        <w:sz w:val="18"/>
      </w:rP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342" w:rsidRDefault="00E26342">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342" w:rsidRDefault="00040788">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194</w:t>
    </w:r>
    <w:r>
      <w:rPr>
        <w:rFonts w:ascii="Arial" w:hAnsi="Arial" w:cs="Arial"/>
        <w:sz w:val="18"/>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342" w:rsidRDefault="00040788">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187</w:t>
    </w:r>
    <w:r>
      <w:rPr>
        <w:rFonts w:ascii="Arial" w:hAnsi="Arial" w:cs="Arial"/>
        <w:sz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342" w:rsidRDefault="00040788">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110</w:t>
    </w:r>
    <w:r>
      <w:rPr>
        <w:rFonts w:ascii="Arial" w:hAnsi="Arial" w:cs="Arial"/>
        <w:sz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342" w:rsidRDefault="00040788">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106</w:t>
    </w:r>
    <w:r>
      <w:rPr>
        <w:rFonts w:ascii="Arial" w:hAnsi="Arial" w:cs="Arial"/>
        <w:sz w:val="1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342" w:rsidRDefault="00E26342">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342" w:rsidRDefault="00040788">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118</w:t>
    </w:r>
    <w:r>
      <w:rPr>
        <w:rFonts w:ascii="Arial" w:hAnsi="Arial" w:cs="Arial"/>
        <w:sz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342" w:rsidRDefault="00040788">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112</w:t>
    </w:r>
    <w:r>
      <w:rPr>
        <w:rFonts w:ascii="Arial" w:hAnsi="Arial" w:cs="Arial"/>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6342" w:rsidRDefault="00040788">
      <w:pPr>
        <w:spacing w:after="0"/>
      </w:pPr>
      <w:r>
        <w:separator/>
      </w:r>
    </w:p>
  </w:footnote>
  <w:footnote w:type="continuationSeparator" w:id="0">
    <w:p w:rsidR="00E26342" w:rsidRDefault="00040788">
      <w:pPr>
        <w:spacing w:after="0"/>
      </w:pPr>
      <w:r>
        <w:continuationSeparator/>
      </w:r>
    </w:p>
  </w:footnote>
  <w:footnote w:type="continuationNotice" w:id="1">
    <w:p w:rsidR="00E26342" w:rsidRDefault="00E26342">
      <w:pPr>
        <w:spacing w:after="0"/>
      </w:pPr>
    </w:p>
  </w:footnote>
  <w:footnote w:id="2">
    <w:p w:rsidR="00E26342" w:rsidRDefault="00040788">
      <w:pPr>
        <w:pStyle w:val="FootnoteText"/>
        <w:rPr>
          <w:lang w:val="pt-PT"/>
        </w:rPr>
      </w:pPr>
      <w:r>
        <w:rPr>
          <w:rStyle w:val="FootnoteReference"/>
        </w:rPr>
        <w:footnoteRef/>
      </w:r>
      <w:r>
        <w:rPr>
          <w:lang w:val="pt-PT"/>
        </w:rPr>
        <w:t xml:space="preserve"> </w:t>
      </w:r>
      <w:r>
        <w:rPr>
          <w:lang w:val="pt-PT"/>
        </w:rPr>
        <w:tab/>
        <w:t xml:space="preserve">Directive </w:t>
      </w:r>
      <w:hyperlink r:id="rId1" w:history="1">
        <w:r>
          <w:rPr>
            <w:rStyle w:val="Hyperlink"/>
            <w:lang w:val="pt-PT"/>
          </w:rPr>
          <w:t>2015/2203/EU</w:t>
        </w:r>
      </w:hyperlink>
      <w:r>
        <w:rPr>
          <w:lang w:val="pt-PT"/>
        </w:rPr>
        <w:t>.</w:t>
      </w:r>
    </w:p>
  </w:footnote>
  <w:footnote w:id="3">
    <w:p w:rsidR="00E26342" w:rsidRDefault="00040788">
      <w:pPr>
        <w:pStyle w:val="FootnoteText"/>
        <w:rPr>
          <w:lang w:val="pt-PT"/>
        </w:rPr>
      </w:pPr>
      <w:r>
        <w:rPr>
          <w:rStyle w:val="FootnoteReference"/>
        </w:rPr>
        <w:footnoteRef/>
      </w:r>
      <w:r>
        <w:rPr>
          <w:lang w:val="pt-PT"/>
        </w:rPr>
        <w:t xml:space="preserve"> </w:t>
      </w:r>
      <w:r>
        <w:rPr>
          <w:lang w:val="pt-PT"/>
        </w:rPr>
        <w:tab/>
        <w:t xml:space="preserve">Directive </w:t>
      </w:r>
      <w:hyperlink r:id="rId2" w:history="1">
        <w:r>
          <w:rPr>
            <w:rStyle w:val="Hyperlink"/>
            <w:lang w:val="pt-PT"/>
          </w:rPr>
          <w:t>2015/849/EU</w:t>
        </w:r>
      </w:hyperlink>
      <w:r>
        <w:rPr>
          <w:lang w:val="pt-PT"/>
        </w:rPr>
        <w:t xml:space="preserve">. </w:t>
      </w:r>
      <w:hyperlink r:id="rId3" w:history="1">
        <w:r>
          <w:rPr>
            <w:rStyle w:val="Hyperlink"/>
            <w:lang w:val="pt-PT"/>
          </w:rPr>
          <w:t>MEMO/17/4767</w:t>
        </w:r>
      </w:hyperlink>
      <w:r>
        <w:rPr>
          <w:lang w:val="pt-PT"/>
        </w:rPr>
        <w:t>;</w:t>
      </w:r>
    </w:p>
  </w:footnote>
  <w:footnote w:id="4">
    <w:p w:rsidR="00E26342" w:rsidRDefault="00040788">
      <w:pPr>
        <w:pStyle w:val="FootnoteText"/>
        <w:rPr>
          <w:lang w:val="pt-PT"/>
        </w:rPr>
      </w:pPr>
      <w:r>
        <w:rPr>
          <w:rStyle w:val="FootnoteReference"/>
        </w:rPr>
        <w:footnoteRef/>
      </w:r>
      <w:r>
        <w:rPr>
          <w:lang w:val="pt-PT"/>
        </w:rPr>
        <w:t xml:space="preserve"> </w:t>
      </w:r>
      <w:r>
        <w:rPr>
          <w:lang w:val="pt-PT"/>
        </w:rPr>
        <w:tab/>
        <w:t xml:space="preserve">Directive </w:t>
      </w:r>
      <w:hyperlink r:id="rId4" w:history="1">
        <w:r>
          <w:rPr>
            <w:rStyle w:val="Hyperlink"/>
            <w:lang w:val="pt-PT"/>
          </w:rPr>
          <w:t>2014/65/EU</w:t>
        </w:r>
      </w:hyperlink>
      <w:r>
        <w:rPr>
          <w:lang w:val="pt-PT"/>
        </w:rPr>
        <w:t>.</w:t>
      </w:r>
    </w:p>
  </w:footnote>
  <w:footnote w:id="5">
    <w:p w:rsidR="00E26342" w:rsidRDefault="00040788">
      <w:pPr>
        <w:pStyle w:val="FootnoteText"/>
        <w:rPr>
          <w:lang w:val="pt-PT"/>
        </w:rPr>
      </w:pPr>
      <w:r>
        <w:rPr>
          <w:rStyle w:val="FootnoteReference"/>
        </w:rPr>
        <w:footnoteRef/>
      </w:r>
      <w:r>
        <w:rPr>
          <w:lang w:val="pt-PT"/>
        </w:rPr>
        <w:t xml:space="preserve"> </w:t>
      </w:r>
      <w:r>
        <w:rPr>
          <w:lang w:val="pt-PT"/>
        </w:rPr>
        <w:tab/>
        <w:t xml:space="preserve">Directive </w:t>
      </w:r>
      <w:hyperlink r:id="rId5" w:history="1">
        <w:r>
          <w:rPr>
            <w:rStyle w:val="Hyperlink"/>
            <w:lang w:val="pt-PT"/>
          </w:rPr>
          <w:t>2014/92/EU</w:t>
        </w:r>
      </w:hyperlink>
      <w:r>
        <w:rPr>
          <w:lang w:val="pt-PT"/>
        </w:rPr>
        <w:t>.</w:t>
      </w:r>
    </w:p>
  </w:footnote>
  <w:footnote w:id="6">
    <w:p w:rsidR="00E26342" w:rsidRDefault="00040788">
      <w:pPr>
        <w:pStyle w:val="FootnoteText"/>
        <w:rPr>
          <w:lang w:val="pt-PT"/>
        </w:rPr>
      </w:pPr>
      <w:r>
        <w:rPr>
          <w:rStyle w:val="FootnoteReference"/>
        </w:rPr>
        <w:footnoteRef/>
      </w:r>
      <w:r>
        <w:rPr>
          <w:lang w:val="pt-PT"/>
        </w:rPr>
        <w:t xml:space="preserve"> </w:t>
      </w:r>
      <w:r>
        <w:rPr>
          <w:lang w:val="pt-PT"/>
        </w:rPr>
        <w:tab/>
        <w:t xml:space="preserve">Directive </w:t>
      </w:r>
      <w:hyperlink r:id="rId6" w:history="1">
        <w:r>
          <w:rPr>
            <w:rStyle w:val="Hyperlink"/>
            <w:lang w:val="pt-PT"/>
          </w:rPr>
          <w:t>2014/112/EU</w:t>
        </w:r>
      </w:hyperlink>
      <w:r>
        <w:rPr>
          <w:lang w:val="pt-PT"/>
        </w:rPr>
        <w:t>.</w:t>
      </w:r>
    </w:p>
  </w:footnote>
  <w:footnote w:id="7">
    <w:p w:rsidR="00E26342" w:rsidRDefault="00040788">
      <w:pPr>
        <w:pStyle w:val="FootnoteText"/>
        <w:rPr>
          <w:lang w:val="pt-PT"/>
        </w:rPr>
      </w:pPr>
      <w:r>
        <w:rPr>
          <w:rStyle w:val="FootnoteReference"/>
        </w:rPr>
        <w:footnoteRef/>
      </w:r>
      <w:r>
        <w:rPr>
          <w:lang w:val="pt-PT"/>
        </w:rPr>
        <w:t xml:space="preserve"> </w:t>
      </w:r>
      <w:r>
        <w:rPr>
          <w:lang w:val="pt-PT"/>
        </w:rPr>
        <w:tab/>
        <w:t xml:space="preserve">Directive </w:t>
      </w:r>
      <w:hyperlink r:id="rId7" w:history="1">
        <w:r>
          <w:rPr>
            <w:rStyle w:val="Hyperlink"/>
            <w:lang w:val="pt-PT"/>
          </w:rPr>
          <w:t>2014/87/Euratom</w:t>
        </w:r>
      </w:hyperlink>
      <w:r>
        <w:rPr>
          <w:lang w:val="pt-PT"/>
        </w:rPr>
        <w:t>.</w:t>
      </w:r>
    </w:p>
  </w:footnote>
  <w:footnote w:id="8">
    <w:p w:rsidR="00E26342" w:rsidRDefault="00040788">
      <w:pPr>
        <w:pStyle w:val="FootnoteText"/>
        <w:rPr>
          <w:lang w:val="pt-PT"/>
        </w:rPr>
      </w:pPr>
      <w:r>
        <w:rPr>
          <w:rStyle w:val="FootnoteReference"/>
        </w:rPr>
        <w:footnoteRef/>
      </w:r>
      <w:r>
        <w:rPr>
          <w:lang w:val="pt-PT"/>
        </w:rPr>
        <w:t xml:space="preserve"> </w:t>
      </w:r>
      <w:r>
        <w:rPr>
          <w:lang w:val="pt-PT"/>
        </w:rPr>
        <w:tab/>
      </w:r>
      <w:hyperlink r:id="rId8" w:history="1">
        <w:r>
          <w:rPr>
            <w:rStyle w:val="Hyperlink"/>
            <w:lang w:val="pt-PT"/>
          </w:rPr>
          <w:t>MEMO/17/1281</w:t>
        </w:r>
      </w:hyperlink>
      <w:r>
        <w:rPr>
          <w:lang w:val="pt-PT"/>
        </w:rPr>
        <w:t>.</w:t>
      </w:r>
    </w:p>
  </w:footnote>
  <w:footnote w:id="9">
    <w:p w:rsidR="00E26342" w:rsidRDefault="00040788">
      <w:pPr>
        <w:pStyle w:val="FootnoteText"/>
        <w:rPr>
          <w:lang w:val="pt-PT"/>
        </w:rPr>
      </w:pPr>
      <w:r>
        <w:rPr>
          <w:rStyle w:val="FootnoteReference"/>
        </w:rPr>
        <w:footnoteRef/>
      </w:r>
      <w:r>
        <w:rPr>
          <w:lang w:val="pt-PT"/>
        </w:rPr>
        <w:t xml:space="preserve"> </w:t>
      </w:r>
      <w:r>
        <w:rPr>
          <w:lang w:val="pt-PT"/>
        </w:rPr>
        <w:tab/>
      </w:r>
      <w:hyperlink r:id="rId9" w:history="1">
        <w:r>
          <w:rPr>
            <w:rStyle w:val="Hyperlink"/>
            <w:lang w:val="pt-PT"/>
          </w:rPr>
          <w:t>ME</w:t>
        </w:r>
        <w:r>
          <w:rPr>
            <w:rStyle w:val="Hyperlink"/>
            <w:lang w:val="pt-PT"/>
          </w:rPr>
          <w:t>MO/17/3494</w:t>
        </w:r>
      </w:hyperlink>
      <w:r>
        <w:rPr>
          <w:lang w:val="pt-PT"/>
        </w:rPr>
        <w:t>.</w:t>
      </w:r>
    </w:p>
  </w:footnote>
  <w:footnote w:id="10">
    <w:p w:rsidR="00E26342" w:rsidRDefault="00040788">
      <w:pPr>
        <w:pStyle w:val="FootnoteText"/>
        <w:rPr>
          <w:lang w:val="pt-PT"/>
        </w:rPr>
      </w:pPr>
      <w:r>
        <w:rPr>
          <w:rStyle w:val="FootnoteReference"/>
        </w:rPr>
        <w:footnoteRef/>
      </w:r>
      <w:r>
        <w:rPr>
          <w:lang w:val="pt-PT"/>
        </w:rPr>
        <w:t xml:space="preserve"> </w:t>
      </w:r>
      <w:r>
        <w:rPr>
          <w:lang w:val="pt-PT"/>
        </w:rPr>
        <w:tab/>
        <w:t xml:space="preserve">Directive </w:t>
      </w:r>
      <w:hyperlink r:id="rId10" w:history="1">
        <w:r>
          <w:rPr>
            <w:rStyle w:val="Hyperlink"/>
            <w:lang w:val="pt-PT"/>
          </w:rPr>
          <w:t>2015/2203/EU</w:t>
        </w:r>
      </w:hyperlink>
      <w:r>
        <w:rPr>
          <w:lang w:val="pt-PT"/>
        </w:rPr>
        <w:t>.</w:t>
      </w:r>
    </w:p>
  </w:footnote>
  <w:footnote w:id="11">
    <w:p w:rsidR="00E26342" w:rsidRDefault="00040788">
      <w:pPr>
        <w:pStyle w:val="FootnoteText"/>
        <w:rPr>
          <w:lang w:val="pt-PT"/>
        </w:rPr>
      </w:pPr>
      <w:r>
        <w:rPr>
          <w:rStyle w:val="FootnoteReference"/>
        </w:rPr>
        <w:footnoteRef/>
      </w:r>
      <w:r>
        <w:rPr>
          <w:lang w:val="pt-PT"/>
        </w:rPr>
        <w:t xml:space="preserve"> </w:t>
      </w:r>
      <w:r>
        <w:rPr>
          <w:lang w:val="pt-PT"/>
        </w:rPr>
        <w:tab/>
        <w:t xml:space="preserve">Directive </w:t>
      </w:r>
      <w:hyperlink r:id="rId11" w:history="1">
        <w:r>
          <w:rPr>
            <w:rStyle w:val="Hyperlink"/>
            <w:lang w:val="pt-PT"/>
          </w:rPr>
          <w:t>2014/80/EU</w:t>
        </w:r>
      </w:hyperlink>
      <w:r>
        <w:rPr>
          <w:lang w:val="pt-PT"/>
        </w:rPr>
        <w:t>.</w:t>
      </w:r>
    </w:p>
  </w:footnote>
  <w:footnote w:id="12">
    <w:p w:rsidR="00E26342" w:rsidRDefault="00040788">
      <w:pPr>
        <w:pStyle w:val="FootnoteText"/>
        <w:rPr>
          <w:lang w:val="pt-PT"/>
        </w:rPr>
      </w:pPr>
      <w:r>
        <w:rPr>
          <w:rStyle w:val="FootnoteReference"/>
        </w:rPr>
        <w:footnoteRef/>
      </w:r>
      <w:r>
        <w:rPr>
          <w:lang w:val="pt-PT"/>
        </w:rPr>
        <w:t xml:space="preserve"> </w:t>
      </w:r>
      <w:r>
        <w:rPr>
          <w:lang w:val="pt-PT"/>
        </w:rPr>
        <w:tab/>
        <w:t xml:space="preserve">Directive </w:t>
      </w:r>
      <w:hyperlink r:id="rId12" w:history="1">
        <w:r>
          <w:rPr>
            <w:rStyle w:val="Hyperlink"/>
            <w:lang w:val="pt-PT"/>
          </w:rPr>
          <w:t>2006/118/EC</w:t>
        </w:r>
      </w:hyperlink>
      <w:r>
        <w:rPr>
          <w:lang w:val="pt-PT"/>
        </w:rPr>
        <w:t>.</w:t>
      </w:r>
    </w:p>
  </w:footnote>
  <w:footnote w:id="13">
    <w:p w:rsidR="00E26342" w:rsidRDefault="00040788">
      <w:pPr>
        <w:pStyle w:val="FootnoteText"/>
        <w:rPr>
          <w:lang w:val="pt-PT"/>
        </w:rPr>
      </w:pPr>
      <w:r>
        <w:rPr>
          <w:rStyle w:val="FootnoteReference"/>
        </w:rPr>
        <w:footnoteRef/>
      </w:r>
      <w:r>
        <w:rPr>
          <w:lang w:val="pt-PT"/>
        </w:rPr>
        <w:t xml:space="preserve"> </w:t>
      </w:r>
      <w:r>
        <w:rPr>
          <w:lang w:val="pt-PT"/>
        </w:rPr>
        <w:tab/>
        <w:t xml:space="preserve">Directive </w:t>
      </w:r>
      <w:hyperlink r:id="rId13" w:history="1">
        <w:r>
          <w:rPr>
            <w:rStyle w:val="Hyperlink"/>
            <w:lang w:val="pt-PT"/>
          </w:rPr>
          <w:t>2005/36/EC</w:t>
        </w:r>
      </w:hyperlink>
      <w:r>
        <w:rPr>
          <w:lang w:val="pt-PT"/>
        </w:rPr>
        <w:t>.</w:t>
      </w:r>
    </w:p>
  </w:footnote>
  <w:footnote w:id="14">
    <w:p w:rsidR="00E26342" w:rsidRDefault="00040788">
      <w:pPr>
        <w:pStyle w:val="FootnoteText"/>
        <w:rPr>
          <w:lang w:val="pt-PT"/>
        </w:rPr>
      </w:pPr>
      <w:r>
        <w:rPr>
          <w:rStyle w:val="FootnoteReference"/>
        </w:rPr>
        <w:footnoteRef/>
      </w:r>
      <w:r>
        <w:rPr>
          <w:lang w:val="pt-PT"/>
        </w:rPr>
        <w:t xml:space="preserve"> </w:t>
      </w:r>
      <w:r>
        <w:rPr>
          <w:lang w:val="pt-PT"/>
        </w:rPr>
        <w:tab/>
        <w:t xml:space="preserve">Directive </w:t>
      </w:r>
      <w:hyperlink r:id="rId14" w:history="1">
        <w:r>
          <w:rPr>
            <w:rStyle w:val="Hyperlink"/>
            <w:lang w:val="pt-PT"/>
          </w:rPr>
          <w:t>2009/138/EC</w:t>
        </w:r>
      </w:hyperlink>
      <w:r>
        <w:rPr>
          <w:lang w:val="pt-PT"/>
        </w:rPr>
        <w:t>.</w:t>
      </w:r>
    </w:p>
  </w:footnote>
  <w:footnote w:id="15">
    <w:p w:rsidR="00E26342" w:rsidRDefault="00040788">
      <w:pPr>
        <w:pStyle w:val="FootnoteText"/>
        <w:rPr>
          <w:lang w:val="pt-PT"/>
        </w:rPr>
      </w:pPr>
      <w:r>
        <w:rPr>
          <w:rStyle w:val="FootnoteReference"/>
        </w:rPr>
        <w:footnoteRef/>
      </w:r>
      <w:r>
        <w:rPr>
          <w:lang w:val="pt-PT"/>
        </w:rPr>
        <w:t xml:space="preserve"> </w:t>
      </w:r>
      <w:r>
        <w:rPr>
          <w:lang w:val="pt-PT"/>
        </w:rPr>
        <w:tab/>
        <w:t xml:space="preserve">Directive </w:t>
      </w:r>
      <w:hyperlink r:id="rId15" w:history="1">
        <w:r>
          <w:rPr>
            <w:rStyle w:val="Hyperlink"/>
            <w:lang w:val="pt-PT"/>
          </w:rPr>
          <w:t>2014/90/EU</w:t>
        </w:r>
      </w:hyperlink>
      <w:r>
        <w:rPr>
          <w:lang w:val="pt-PT"/>
        </w:rPr>
        <w:t>.</w:t>
      </w:r>
    </w:p>
  </w:footnote>
  <w:footnote w:id="16">
    <w:p w:rsidR="00E26342" w:rsidRDefault="00040788">
      <w:pPr>
        <w:pStyle w:val="FootnoteText"/>
        <w:rPr>
          <w:lang w:val="pt-PT"/>
        </w:rPr>
      </w:pPr>
      <w:r>
        <w:rPr>
          <w:rStyle w:val="FootnoteReference"/>
        </w:rPr>
        <w:footnoteRef/>
      </w:r>
      <w:r>
        <w:rPr>
          <w:lang w:val="pt-PT"/>
        </w:rPr>
        <w:t xml:space="preserve"> </w:t>
      </w:r>
      <w:r>
        <w:rPr>
          <w:lang w:val="pt-PT"/>
        </w:rPr>
        <w:tab/>
        <w:t>Di</w:t>
      </w:r>
      <w:r>
        <w:rPr>
          <w:lang w:val="pt-PT"/>
        </w:rPr>
        <w:t xml:space="preserve">rective </w:t>
      </w:r>
      <w:hyperlink r:id="rId16" w:history="1">
        <w:r>
          <w:rPr>
            <w:rStyle w:val="Hyperlink"/>
            <w:lang w:val="pt-PT"/>
          </w:rPr>
          <w:t>2014/51/EU</w:t>
        </w:r>
      </w:hyperlink>
      <w:r>
        <w:rPr>
          <w:lang w:val="pt-PT"/>
        </w:rPr>
        <w:t>.</w:t>
      </w:r>
    </w:p>
  </w:footnote>
  <w:footnote w:id="17">
    <w:p w:rsidR="00E26342" w:rsidRDefault="00040788">
      <w:pPr>
        <w:pStyle w:val="FootnoteText"/>
        <w:rPr>
          <w:lang w:val="pt-PT"/>
        </w:rPr>
      </w:pPr>
      <w:r>
        <w:rPr>
          <w:rStyle w:val="FootnoteReference"/>
        </w:rPr>
        <w:footnoteRef/>
      </w:r>
      <w:r>
        <w:rPr>
          <w:lang w:val="pt-PT"/>
        </w:rPr>
        <w:t xml:space="preserve"> </w:t>
      </w:r>
      <w:r>
        <w:rPr>
          <w:lang w:val="pt-PT"/>
        </w:rPr>
        <w:tab/>
        <w:t xml:space="preserve">Directive </w:t>
      </w:r>
      <w:hyperlink r:id="rId17" w:history="1">
        <w:r>
          <w:rPr>
            <w:rStyle w:val="Hyperlink"/>
            <w:lang w:val="pt-PT"/>
          </w:rPr>
          <w:t>2013/50/EU</w:t>
        </w:r>
      </w:hyperlink>
      <w:r>
        <w:rPr>
          <w:lang w:val="pt-PT"/>
        </w:rPr>
        <w:t>.</w:t>
      </w:r>
    </w:p>
  </w:footnote>
  <w:footnote w:id="18">
    <w:p w:rsidR="00E26342" w:rsidRDefault="00040788">
      <w:pPr>
        <w:pStyle w:val="FootnoteText"/>
        <w:rPr>
          <w:lang w:val="pt-PT"/>
        </w:rPr>
      </w:pPr>
      <w:r>
        <w:rPr>
          <w:rStyle w:val="FootnoteReference"/>
        </w:rPr>
        <w:footnoteRef/>
      </w:r>
      <w:r>
        <w:rPr>
          <w:lang w:val="pt-PT"/>
        </w:rPr>
        <w:t xml:space="preserve"> </w:t>
      </w:r>
      <w:r>
        <w:rPr>
          <w:lang w:val="pt-PT"/>
        </w:rPr>
        <w:tab/>
        <w:t>Dire</w:t>
      </w:r>
      <w:r>
        <w:rPr>
          <w:lang w:val="pt-PT"/>
        </w:rPr>
        <w:t xml:space="preserve">ctive </w:t>
      </w:r>
      <w:hyperlink r:id="rId18" w:history="1">
        <w:r>
          <w:rPr>
            <w:rStyle w:val="Hyperlink"/>
            <w:lang w:val="pt-PT"/>
          </w:rPr>
          <w:t>2013/34/EU</w:t>
        </w:r>
      </w:hyperlink>
      <w:r>
        <w:rPr>
          <w:lang w:val="pt-PT"/>
        </w:rPr>
        <w:t>.</w:t>
      </w:r>
    </w:p>
  </w:footnote>
  <w:footnote w:id="19">
    <w:p w:rsidR="00E26342" w:rsidRDefault="00040788">
      <w:pPr>
        <w:pStyle w:val="FootnoteText"/>
        <w:rPr>
          <w:lang w:val="pt-PT"/>
        </w:rPr>
      </w:pPr>
      <w:r>
        <w:rPr>
          <w:rStyle w:val="FootnoteReference"/>
        </w:rPr>
        <w:footnoteRef/>
      </w:r>
      <w:r>
        <w:rPr>
          <w:lang w:val="pt-PT"/>
        </w:rPr>
        <w:t xml:space="preserve"> </w:t>
      </w:r>
      <w:r>
        <w:rPr>
          <w:lang w:val="pt-PT"/>
        </w:rPr>
        <w:tab/>
        <w:t xml:space="preserve">Directive </w:t>
      </w:r>
      <w:hyperlink r:id="rId19" w:history="1">
        <w:r>
          <w:rPr>
            <w:rStyle w:val="Hyperlink"/>
            <w:lang w:val="pt-PT"/>
          </w:rPr>
          <w:t>2004/49/EC</w:t>
        </w:r>
      </w:hyperlink>
      <w:r>
        <w:rPr>
          <w:lang w:val="pt-PT"/>
        </w:rPr>
        <w:t>.</w:t>
      </w:r>
    </w:p>
  </w:footnote>
  <w:footnote w:id="20">
    <w:p w:rsidR="00E26342" w:rsidRDefault="00040788">
      <w:pPr>
        <w:pStyle w:val="FootnoteText"/>
      </w:pPr>
      <w:r>
        <w:rPr>
          <w:rStyle w:val="FootnoteReference"/>
        </w:rPr>
        <w:footnoteRef/>
      </w:r>
      <w:r>
        <w:t xml:space="preserve"> </w:t>
      </w:r>
      <w:r>
        <w:tab/>
        <w:t>Direc</w:t>
      </w:r>
      <w:r>
        <w:t>tive</w:t>
      </w:r>
      <w:r>
        <w:rPr>
          <w:color w:val="3D3D3D"/>
          <w:sz w:val="22"/>
        </w:rPr>
        <w:t xml:space="preserve"> </w:t>
      </w:r>
      <w:hyperlink r:id="rId20" w:history="1">
        <w:r>
          <w:rPr>
            <w:rStyle w:val="Hyperlink"/>
          </w:rPr>
          <w:t>2006/126/EC</w:t>
        </w:r>
      </w:hyperlink>
      <w:r>
        <w:t>.</w:t>
      </w:r>
    </w:p>
  </w:footnote>
  <w:footnote w:id="21">
    <w:p w:rsidR="00E26342" w:rsidRDefault="00040788">
      <w:pPr>
        <w:pStyle w:val="FootnoteText"/>
        <w:rPr>
          <w:sz w:val="16"/>
        </w:rPr>
      </w:pPr>
      <w:r>
        <w:rPr>
          <w:rStyle w:val="FootnoteReference"/>
          <w:sz w:val="16"/>
        </w:rPr>
        <w:footnoteRef/>
      </w:r>
      <w:r>
        <w:rPr>
          <w:sz w:val="16"/>
        </w:rPr>
        <w:t xml:space="preserve"> </w:t>
      </w:r>
      <w:r>
        <w:rPr>
          <w:sz w:val="16"/>
        </w:rPr>
        <w:tab/>
      </w:r>
      <w:r>
        <w:t>These rulings are almost exclusively handed down on infringement procedures.</w:t>
      </w:r>
    </w:p>
  </w:footnote>
  <w:footnote w:id="22">
    <w:p w:rsidR="00E26342" w:rsidRDefault="00040788">
      <w:pPr>
        <w:pStyle w:val="FootnoteText"/>
      </w:pPr>
      <w:r>
        <w:rPr>
          <w:rStyle w:val="FootnoteReference"/>
        </w:rPr>
        <w:footnoteRef/>
      </w:r>
      <w:r>
        <w:t xml:space="preserve"> </w:t>
      </w:r>
      <w:r>
        <w:tab/>
        <w:t>Associations of taxpayers who come together to purch</w:t>
      </w:r>
      <w:r>
        <w:t>ase services from third parties.</w:t>
      </w:r>
    </w:p>
  </w:footnote>
  <w:footnote w:id="23">
    <w:p w:rsidR="00E26342" w:rsidRDefault="00040788">
      <w:pPr>
        <w:pStyle w:val="FootnoteText"/>
      </w:pPr>
      <w:r>
        <w:rPr>
          <w:rStyle w:val="FootnoteReference"/>
        </w:rPr>
        <w:footnoteRef/>
      </w:r>
      <w:r>
        <w:t xml:space="preserve"> </w:t>
      </w:r>
      <w:r>
        <w:tab/>
        <w:t xml:space="preserve">Commission v Luxembourg, </w:t>
      </w:r>
      <w:hyperlink r:id="rId21" w:history="1">
        <w:r>
          <w:rPr>
            <w:rStyle w:val="Hyperlink"/>
          </w:rPr>
          <w:t>C-274/15</w:t>
        </w:r>
      </w:hyperlink>
      <w:r>
        <w:t xml:space="preserve">, </w:t>
      </w:r>
      <w:hyperlink r:id="rId22" w:history="1">
        <w:r>
          <w:rPr>
            <w:rStyle w:val="Hyperlink"/>
          </w:rPr>
          <w:t>IP/14/161</w:t>
        </w:r>
      </w:hyperlink>
      <w:r>
        <w:t xml:space="preserve">, </w:t>
      </w:r>
      <w:hyperlink r:id="rId23" w:history="1">
        <w:r>
          <w:rPr>
            <w:rStyle w:val="Hyperlink"/>
          </w:rPr>
          <w:t>MEMO/14/116.</w:t>
        </w:r>
      </w:hyperlink>
    </w:p>
  </w:footnote>
  <w:footnote w:id="24">
    <w:p w:rsidR="00E26342" w:rsidRDefault="00040788">
      <w:pPr>
        <w:pStyle w:val="FootnoteText"/>
      </w:pPr>
      <w:r>
        <w:rPr>
          <w:rStyle w:val="FootnoteReference"/>
        </w:rPr>
        <w:footnoteRef/>
      </w:r>
      <w:r>
        <w:t xml:space="preserve"> </w:t>
      </w:r>
      <w:r>
        <w:tab/>
        <w:t xml:space="preserve">Regulation (EC) No </w:t>
      </w:r>
      <w:hyperlink r:id="rId24" w:history="1">
        <w:r>
          <w:rPr>
            <w:rStyle w:val="Hyperlink"/>
          </w:rPr>
          <w:t>1083/2006</w:t>
        </w:r>
      </w:hyperlink>
      <w:r>
        <w:t xml:space="preserve">, </w:t>
      </w:r>
      <w:r>
        <w:rPr>
          <w:rStyle w:val="affairetitle"/>
        </w:rPr>
        <w:t>Luxembourg v Commission,</w:t>
      </w:r>
      <w:hyperlink r:id="rId25" w:history="1">
        <w:r>
          <w:rPr>
            <w:rStyle w:val="Hyperlink"/>
          </w:rPr>
          <w:t>T-109/10</w:t>
        </w:r>
      </w:hyperlink>
      <w:r>
        <w:t>.</w:t>
      </w:r>
    </w:p>
  </w:footnote>
  <w:footnote w:id="25">
    <w:p w:rsidR="00E26342" w:rsidRDefault="00040788">
      <w:pPr>
        <w:pStyle w:val="FootnoteText"/>
      </w:pPr>
      <w:r>
        <w:rPr>
          <w:rStyle w:val="FootnoteReference"/>
        </w:rPr>
        <w:footnoteRef/>
      </w:r>
      <w:r>
        <w:t xml:space="preserve"> </w:t>
      </w:r>
      <w:r>
        <w:tab/>
        <w:t xml:space="preserve">Berlioz Investment Fund, </w:t>
      </w:r>
      <w:hyperlink r:id="rId26" w:history="1">
        <w:r>
          <w:rPr>
            <w:rStyle w:val="Hyperlink"/>
          </w:rPr>
          <w:t>C-682/15</w:t>
        </w:r>
      </w:hyperlink>
      <w:r>
        <w:t>.</w:t>
      </w:r>
    </w:p>
  </w:footnote>
  <w:footnote w:id="26">
    <w:p w:rsidR="00E26342" w:rsidRDefault="00040788">
      <w:pPr>
        <w:pStyle w:val="FootnoteText"/>
      </w:pPr>
      <w:r>
        <w:rPr>
          <w:rStyle w:val="FootnoteReference"/>
        </w:rPr>
        <w:footnoteRef/>
      </w:r>
      <w:r>
        <w:t xml:space="preserve"> </w:t>
      </w:r>
      <w:r>
        <w:tab/>
      </w:r>
      <w:hyperlink r:id="rId27" w:history="1">
        <w:r>
          <w:rPr>
            <w:rStyle w:val="Hyperlink"/>
          </w:rPr>
          <w:t>MEMO/17/4767</w:t>
        </w:r>
      </w:hyperlink>
      <w:r>
        <w:t>.</w:t>
      </w:r>
    </w:p>
  </w:footnote>
  <w:footnote w:id="27">
    <w:p w:rsidR="00E26342" w:rsidRDefault="00040788">
      <w:pPr>
        <w:pStyle w:val="FootnoteText"/>
      </w:pPr>
      <w:r>
        <w:rPr>
          <w:rStyle w:val="FootnoteReference"/>
        </w:rPr>
        <w:footnoteRef/>
      </w:r>
      <w:r>
        <w:t xml:space="preserve"> </w:t>
      </w:r>
      <w:r>
        <w:tab/>
        <w:t xml:space="preserve">Directive </w:t>
      </w:r>
      <w:hyperlink r:id="rId28" w:history="1">
        <w:r>
          <w:rPr>
            <w:rStyle w:val="Hyperlink"/>
          </w:rPr>
          <w:t>2002/49/EC</w:t>
        </w:r>
      </w:hyperlink>
      <w:r>
        <w:t xml:space="preserve"> and </w:t>
      </w:r>
      <w:hyperlink r:id="rId29" w:history="1">
        <w:r>
          <w:rPr>
            <w:rStyle w:val="Hyperlink"/>
          </w:rPr>
          <w:t>MEMO/17/234.</w:t>
        </w:r>
      </w:hyperlink>
    </w:p>
  </w:footnote>
  <w:footnote w:id="28">
    <w:p w:rsidR="00E26342" w:rsidRDefault="00040788">
      <w:pPr>
        <w:pStyle w:val="FootnoteText"/>
      </w:pPr>
      <w:r>
        <w:rPr>
          <w:rStyle w:val="FootnoteReference"/>
        </w:rPr>
        <w:footnoteRef/>
      </w:r>
      <w:r>
        <w:t xml:space="preserve"> </w:t>
      </w:r>
      <w:r>
        <w:tab/>
        <w:t>Directive</w:t>
      </w:r>
      <w:hyperlink r:id="rId30" w:history="1">
        <w:r>
          <w:rPr>
            <w:rStyle w:val="Hyperlink"/>
          </w:rPr>
          <w:t xml:space="preserve"> 2002/21/EC</w:t>
        </w:r>
      </w:hyperlink>
      <w:r>
        <w:t xml:space="preserve"> and </w:t>
      </w:r>
      <w:hyperlink r:id="rId31" w:history="1">
        <w:r>
          <w:rPr>
            <w:rStyle w:val="Hyperlink"/>
          </w:rPr>
          <w:t>MEMO/17/3494</w:t>
        </w:r>
      </w:hyperlink>
      <w:r>
        <w:t>.</w:t>
      </w:r>
    </w:p>
  </w:footnote>
  <w:footnote w:id="29">
    <w:p w:rsidR="00E26342" w:rsidRDefault="00040788">
      <w:pPr>
        <w:pStyle w:val="FootnoteText"/>
      </w:pPr>
      <w:r>
        <w:rPr>
          <w:rStyle w:val="FootnoteReference"/>
        </w:rPr>
        <w:footnoteRef/>
      </w:r>
      <w:r>
        <w:t xml:space="preserve"> </w:t>
      </w:r>
      <w:r>
        <w:tab/>
        <w:t xml:space="preserve">Directive </w:t>
      </w:r>
      <w:hyperlink r:id="rId32" w:history="1">
        <w:r>
          <w:rPr>
            <w:rStyle w:val="Hyperlink"/>
          </w:rPr>
          <w:t>2009/72/EC</w:t>
        </w:r>
      </w:hyperlink>
      <w:r>
        <w:t xml:space="preserve"> and Directive </w:t>
      </w:r>
      <w:hyperlink r:id="rId33" w:history="1">
        <w:r>
          <w:rPr>
            <w:rStyle w:val="Hyperlink"/>
          </w:rPr>
          <w:t>2009/73/EC</w:t>
        </w:r>
      </w:hyperlink>
      <w:r>
        <w:t xml:space="preserve">, </w:t>
      </w:r>
      <w:hyperlink r:id="rId34" w:history="1">
        <w:r>
          <w:rPr>
            <w:rStyle w:val="Hyperlink"/>
          </w:rPr>
          <w:t>MEMO/17/1045</w:t>
        </w:r>
      </w:hyperlink>
      <w:r>
        <w:t>.</w:t>
      </w:r>
    </w:p>
  </w:footnote>
  <w:footnote w:id="30">
    <w:p w:rsidR="00E26342" w:rsidRDefault="00040788">
      <w:pPr>
        <w:pStyle w:val="FootnoteText"/>
      </w:pPr>
      <w:r>
        <w:rPr>
          <w:rStyle w:val="FootnoteReference"/>
        </w:rPr>
        <w:footnoteRef/>
      </w:r>
      <w:r>
        <w:t xml:space="preserve"> </w:t>
      </w:r>
      <w:r>
        <w:tab/>
      </w:r>
      <w:hyperlink r:id="rId35" w:history="1">
        <w:r>
          <w:rPr>
            <w:rStyle w:val="Hyperlink"/>
          </w:rPr>
          <w:t>IP/17/1982</w:t>
        </w:r>
      </w:hyperlink>
      <w:r>
        <w:t xml:space="preserve">; </w:t>
      </w:r>
      <w:hyperlink r:id="rId36" w:history="1">
        <w:r>
          <w:rPr>
            <w:rStyle w:val="Hyperlink"/>
          </w:rPr>
          <w:t>IP/17/3663</w:t>
        </w:r>
      </w:hyperlink>
      <w:r>
        <w:t xml:space="preserve"> and </w:t>
      </w:r>
      <w:hyperlink r:id="rId37" w:history="1">
        <w:r>
          <w:rPr>
            <w:rStyle w:val="Hyperlink"/>
          </w:rPr>
          <w:t>IP/17/5003</w:t>
        </w:r>
      </w:hyperlink>
      <w:r>
        <w:t>.</w:t>
      </w:r>
    </w:p>
  </w:footnote>
  <w:footnote w:id="31">
    <w:p w:rsidR="00E26342" w:rsidRDefault="00040788">
      <w:pPr>
        <w:pStyle w:val="FootnoteText"/>
      </w:pPr>
      <w:r>
        <w:rPr>
          <w:rStyle w:val="FootnoteReference"/>
        </w:rPr>
        <w:footnoteRef/>
      </w:r>
      <w:r>
        <w:t xml:space="preserve"> </w:t>
      </w:r>
      <w:r>
        <w:tab/>
      </w:r>
      <w:hyperlink r:id="rId38" w:history="1">
        <w:r>
          <w:rPr>
            <w:rStyle w:val="Hyperlink"/>
          </w:rPr>
          <w:t>IP/17/5004</w:t>
        </w:r>
      </w:hyperlink>
      <w:r>
        <w:t>.</w:t>
      </w:r>
    </w:p>
  </w:footnote>
  <w:footnote w:id="32">
    <w:p w:rsidR="00E26342" w:rsidRDefault="00040788">
      <w:pPr>
        <w:pStyle w:val="FootnoteText"/>
      </w:pPr>
      <w:r>
        <w:rPr>
          <w:rStyle w:val="FootnoteReference"/>
        </w:rPr>
        <w:footnoteRef/>
      </w:r>
      <w:r>
        <w:t xml:space="preserve"> </w:t>
      </w:r>
      <w:r>
        <w:tab/>
      </w:r>
      <w:hyperlink r:id="rId39" w:history="1">
        <w:r>
          <w:rPr>
            <w:rStyle w:val="Hyperlink"/>
          </w:rPr>
          <w:t>Council Decision (EU) 2015/1523</w:t>
        </w:r>
      </w:hyperlink>
      <w:r>
        <w:rPr>
          <w:rStyle w:val="Strong"/>
        </w:rPr>
        <w:t xml:space="preserve"> </w:t>
      </w:r>
      <w:r>
        <w:t xml:space="preserve">and </w:t>
      </w:r>
      <w:hyperlink r:id="rId40" w:history="1">
        <w:r>
          <w:rPr>
            <w:rStyle w:val="Hyperlink"/>
          </w:rPr>
          <w:t>2015/1601</w:t>
        </w:r>
      </w:hyperlink>
      <w:r>
        <w:t xml:space="preserve">, and </w:t>
      </w:r>
      <w:hyperlink r:id="rId41" w:history="1">
        <w:r>
          <w:rPr>
            <w:rStyle w:val="Hyperlink"/>
          </w:rPr>
          <w:t>IP/17/5002</w:t>
        </w:r>
      </w:hyperlink>
      <w:r>
        <w:t>.</w:t>
      </w:r>
    </w:p>
  </w:footnote>
  <w:footnote w:id="33">
    <w:p w:rsidR="00E26342" w:rsidRDefault="00040788">
      <w:pPr>
        <w:pStyle w:val="FootnoteText"/>
      </w:pPr>
      <w:r>
        <w:rPr>
          <w:rStyle w:val="FootnoteReference"/>
        </w:rPr>
        <w:footnoteRef/>
      </w:r>
      <w:r>
        <w:t xml:space="preserve"> </w:t>
      </w:r>
      <w:r>
        <w:tab/>
      </w:r>
      <w:hyperlink r:id="rId42" w:history="1">
        <w:r>
          <w:rPr>
            <w:rStyle w:val="Hyperlink"/>
          </w:rPr>
          <w:t>IP/17/5023</w:t>
        </w:r>
      </w:hyperlink>
      <w:r>
        <w:t>.</w:t>
      </w:r>
    </w:p>
  </w:footnote>
  <w:footnote w:id="34">
    <w:p w:rsidR="00E26342" w:rsidRDefault="00040788">
      <w:pPr>
        <w:pStyle w:val="FootnoteText"/>
      </w:pPr>
      <w:r>
        <w:rPr>
          <w:rStyle w:val="FootnoteReference"/>
        </w:rPr>
        <w:footnoteRef/>
      </w:r>
      <w:r>
        <w:t xml:space="preserve"> </w:t>
      </w:r>
      <w:r>
        <w:tab/>
        <w:t xml:space="preserve">Regulation (EC) No </w:t>
      </w:r>
      <w:hyperlink r:id="rId43" w:history="1">
        <w:r>
          <w:rPr>
            <w:rStyle w:val="Hyperlink"/>
          </w:rPr>
          <w:t>1889/2005</w:t>
        </w:r>
      </w:hyperlink>
      <w:r>
        <w:t>.</w:t>
      </w:r>
    </w:p>
  </w:footnote>
  <w:footnote w:id="35">
    <w:p w:rsidR="00E26342" w:rsidRDefault="00040788">
      <w:pPr>
        <w:pStyle w:val="FootnoteText"/>
      </w:pPr>
      <w:r>
        <w:rPr>
          <w:rStyle w:val="FootnoteReference"/>
        </w:rPr>
        <w:footnoteRef/>
      </w:r>
      <w:r>
        <w:t xml:space="preserve"> </w:t>
      </w:r>
      <w:r>
        <w:tab/>
      </w:r>
      <w:hyperlink r:id="rId44" w:history="1">
        <w:r>
          <w:rPr>
            <w:rStyle w:val="Hyperlink"/>
            <w:color w:val="auto"/>
            <w:u w:val="none"/>
          </w:rPr>
          <w:t>Council Decision (EU)</w:t>
        </w:r>
        <w:r>
          <w:rPr>
            <w:rStyle w:val="Hyperlink"/>
          </w:rPr>
          <w:t xml:space="preserve"> 2015/1523</w:t>
        </w:r>
      </w:hyperlink>
      <w:r>
        <w:rPr>
          <w:rStyle w:val="Strong"/>
        </w:rPr>
        <w:t xml:space="preserve"> </w:t>
      </w:r>
      <w:r>
        <w:t xml:space="preserve">and </w:t>
      </w:r>
      <w:hyperlink r:id="rId45" w:history="1">
        <w:r>
          <w:rPr>
            <w:rStyle w:val="Hyperlink"/>
          </w:rPr>
          <w:t>2015/1601</w:t>
        </w:r>
      </w:hyperlink>
      <w:r>
        <w:t xml:space="preserve">, Commission v Hungary, </w:t>
      </w:r>
      <w:hyperlink r:id="rId46" w:history="1">
        <w:r>
          <w:rPr>
            <w:rStyle w:val="Hyperlink"/>
          </w:rPr>
          <w:t>C-718/17</w:t>
        </w:r>
      </w:hyperlink>
      <w:r>
        <w:t xml:space="preserve">, </w:t>
      </w:r>
      <w:hyperlink r:id="rId47" w:history="1">
        <w:r>
          <w:rPr>
            <w:rStyle w:val="Hyperlink"/>
          </w:rPr>
          <w:t>IP/17/5002</w:t>
        </w:r>
      </w:hyperlink>
      <w:r>
        <w:t>.</w:t>
      </w:r>
    </w:p>
  </w:footnote>
  <w:footnote w:id="36">
    <w:p w:rsidR="00E26342" w:rsidRDefault="00040788">
      <w:pPr>
        <w:pStyle w:val="FootnoteText"/>
      </w:pPr>
      <w:r>
        <w:rPr>
          <w:rStyle w:val="FootnoteReference"/>
        </w:rPr>
        <w:footnoteRef/>
      </w:r>
      <w:r>
        <w:t xml:space="preserve"> </w:t>
      </w:r>
      <w:r>
        <w:tab/>
        <w:t xml:space="preserve">Commission v Hungary, </w:t>
      </w:r>
      <w:hyperlink r:id="rId48" w:history="1">
        <w:r>
          <w:rPr>
            <w:rStyle w:val="Hyperlink"/>
          </w:rPr>
          <w:t>C-235/2017</w:t>
        </w:r>
      </w:hyperlink>
      <w:r>
        <w:t xml:space="preserve"> (info 06.03.2018 </w:t>
      </w:r>
      <w:hyperlink r:id="rId49" w:history="1">
        <w:r>
          <w:rPr>
            <w:rStyle w:val="Hyperlink"/>
          </w:rPr>
          <w:t>C-52/16</w:t>
        </w:r>
      </w:hyperlink>
      <w:r>
        <w:t xml:space="preserve">) and </w:t>
      </w:r>
      <w:hyperlink r:id="rId50" w:history="1">
        <w:r>
          <w:rPr>
            <w:rStyle w:val="Hyperlink"/>
          </w:rPr>
          <w:t>IP/16/2102</w:t>
        </w:r>
      </w:hyperlink>
      <w:r>
        <w:t>.</w:t>
      </w:r>
    </w:p>
  </w:footnote>
  <w:footnote w:id="37">
    <w:p w:rsidR="00E26342" w:rsidRDefault="00040788">
      <w:pPr>
        <w:pStyle w:val="FootnoteText"/>
      </w:pPr>
      <w:r>
        <w:rPr>
          <w:rStyle w:val="FootnoteReference"/>
        </w:rPr>
        <w:footnoteRef/>
      </w:r>
      <w:r>
        <w:t xml:space="preserve"> </w:t>
      </w:r>
      <w:r>
        <w:tab/>
        <w:t xml:space="preserve">Directive </w:t>
      </w:r>
      <w:hyperlink r:id="rId51" w:history="1">
        <w:r>
          <w:rPr>
            <w:rStyle w:val="Hyperlink"/>
          </w:rPr>
          <w:t>2006/123/EC</w:t>
        </w:r>
      </w:hyperlink>
      <w:r>
        <w:t xml:space="preserve">, Commission v Hungary, </w:t>
      </w:r>
      <w:hyperlink r:id="rId52" w:history="1">
        <w:r>
          <w:rPr>
            <w:rStyle w:val="Hyperlink"/>
          </w:rPr>
          <w:t>C-171/17</w:t>
        </w:r>
      </w:hyperlink>
      <w:r>
        <w:t xml:space="preserve"> and </w:t>
      </w:r>
      <w:hyperlink r:id="rId53" w:history="1">
        <w:r>
          <w:rPr>
            <w:rStyle w:val="Hyperlink"/>
          </w:rPr>
          <w:t>IP/16/3646</w:t>
        </w:r>
      </w:hyperlink>
      <w:r>
        <w:t>.</w:t>
      </w:r>
    </w:p>
  </w:footnote>
  <w:footnote w:id="38">
    <w:p w:rsidR="00E26342" w:rsidRDefault="00040788">
      <w:pPr>
        <w:pStyle w:val="FootnoteText"/>
      </w:pPr>
      <w:r>
        <w:rPr>
          <w:rStyle w:val="FootnoteReference"/>
        </w:rPr>
        <w:footnoteRef/>
      </w:r>
      <w:r>
        <w:t xml:space="preserve"> </w:t>
      </w:r>
      <w:r>
        <w:tab/>
        <w:t xml:space="preserve">Directive </w:t>
      </w:r>
      <w:hyperlink r:id="rId54" w:history="1">
        <w:r>
          <w:rPr>
            <w:rStyle w:val="Hyperlink"/>
          </w:rPr>
          <w:t>2003/88/EC</w:t>
        </w:r>
      </w:hyperlink>
      <w:r>
        <w:t>.</w:t>
      </w:r>
    </w:p>
  </w:footnote>
  <w:footnote w:id="39">
    <w:p w:rsidR="00E26342" w:rsidRDefault="00040788">
      <w:pPr>
        <w:pStyle w:val="FootnoteText"/>
      </w:pPr>
      <w:r>
        <w:rPr>
          <w:rStyle w:val="FootnoteReference"/>
        </w:rPr>
        <w:footnoteRef/>
      </w:r>
      <w:r>
        <w:t xml:space="preserve"> </w:t>
      </w:r>
      <w:r>
        <w:tab/>
        <w:t xml:space="preserve">Directive </w:t>
      </w:r>
      <w:hyperlink r:id="rId55" w:history="1">
        <w:r>
          <w:rPr>
            <w:rStyle w:val="Hyperlink"/>
          </w:rPr>
          <w:t>2013/50/EU</w:t>
        </w:r>
      </w:hyperlink>
      <w:r>
        <w:t>.</w:t>
      </w:r>
    </w:p>
  </w:footnote>
  <w:footnote w:id="40">
    <w:p w:rsidR="00E26342" w:rsidRDefault="00040788">
      <w:pPr>
        <w:pStyle w:val="FootnoteText"/>
      </w:pPr>
      <w:r>
        <w:rPr>
          <w:rStyle w:val="FootnoteReference"/>
        </w:rPr>
        <w:footnoteRef/>
      </w:r>
      <w:r>
        <w:t xml:space="preserve"> </w:t>
      </w:r>
      <w:r>
        <w:tab/>
        <w:t xml:space="preserve">Directive </w:t>
      </w:r>
      <w:hyperlink r:id="rId56" w:history="1">
        <w:r>
          <w:rPr>
            <w:rStyle w:val="Hyperlink"/>
          </w:rPr>
          <w:t>2015/652/EU</w:t>
        </w:r>
      </w:hyperlink>
      <w:r>
        <w:t>.</w:t>
      </w:r>
    </w:p>
  </w:footnote>
  <w:footnote w:id="41">
    <w:p w:rsidR="00E26342" w:rsidRDefault="00040788">
      <w:pPr>
        <w:pStyle w:val="FootnoteText"/>
      </w:pPr>
      <w:r>
        <w:rPr>
          <w:rStyle w:val="FootnoteReference"/>
        </w:rPr>
        <w:footnoteRef/>
      </w:r>
      <w:r>
        <w:t xml:space="preserve"> </w:t>
      </w:r>
      <w:r>
        <w:tab/>
        <w:t xml:space="preserve">Directive </w:t>
      </w:r>
      <w:hyperlink r:id="rId57" w:history="1">
        <w:r>
          <w:rPr>
            <w:rStyle w:val="Hyperlink"/>
          </w:rPr>
          <w:t>98/70/EC</w:t>
        </w:r>
      </w:hyperlink>
      <w:r>
        <w:t>.</w:t>
      </w:r>
    </w:p>
  </w:footnote>
  <w:footnote w:id="42">
    <w:p w:rsidR="00E26342" w:rsidRDefault="00040788">
      <w:pPr>
        <w:pStyle w:val="FootnoteText"/>
      </w:pPr>
      <w:r>
        <w:rPr>
          <w:rStyle w:val="FootnoteReference"/>
        </w:rPr>
        <w:footnoteRef/>
      </w:r>
      <w:r>
        <w:rPr>
          <w:rStyle w:val="FootnoteReference"/>
        </w:rPr>
        <w:t xml:space="preserve"> </w:t>
      </w:r>
      <w:r>
        <w:rPr>
          <w:rStyle w:val="FootnoteReference"/>
        </w:rPr>
        <w:tab/>
      </w:r>
      <w:r>
        <w:t>These rulings are almost exclusively handed down in infri</w:t>
      </w:r>
      <w:r>
        <w:t>ngement procedures.</w:t>
      </w:r>
    </w:p>
  </w:footnote>
  <w:footnote w:id="43">
    <w:p w:rsidR="00E26342" w:rsidRDefault="00040788">
      <w:pPr>
        <w:pStyle w:val="FootnoteText"/>
      </w:pPr>
      <w:r>
        <w:rPr>
          <w:rStyle w:val="FootnoteReference"/>
        </w:rPr>
        <w:footnoteRef/>
      </w:r>
      <w:r>
        <w:t xml:space="preserve"> </w:t>
      </w:r>
      <w:r>
        <w:tab/>
        <w:t xml:space="preserve">Commission v Hungary, </w:t>
      </w:r>
      <w:hyperlink r:id="rId58" w:history="1">
        <w:r>
          <w:rPr>
            <w:rStyle w:val="Hyperlink"/>
          </w:rPr>
          <w:t>C-392/15</w:t>
        </w:r>
      </w:hyperlink>
      <w:r>
        <w:t>.</w:t>
      </w:r>
    </w:p>
  </w:footnote>
  <w:footnote w:id="44">
    <w:p w:rsidR="00E26342" w:rsidRDefault="00040788">
      <w:pPr>
        <w:pStyle w:val="FootnoteText"/>
      </w:pPr>
      <w:r>
        <w:rPr>
          <w:rStyle w:val="FootnoteReference"/>
        </w:rPr>
        <w:footnoteRef/>
      </w:r>
      <w:r>
        <w:t xml:space="preserve"> </w:t>
      </w:r>
      <w:r>
        <w:tab/>
        <w:t xml:space="preserve">Council Decisions (EU) </w:t>
      </w:r>
      <w:hyperlink r:id="rId59" w:history="1">
        <w:r>
          <w:rPr>
            <w:rStyle w:val="Hyperlink"/>
          </w:rPr>
          <w:t>2015/1523</w:t>
        </w:r>
      </w:hyperlink>
      <w:r>
        <w:t xml:space="preserve">and </w:t>
      </w:r>
      <w:hyperlink r:id="rId60" w:history="1">
        <w:r>
          <w:rPr>
            <w:rStyle w:val="Hyperlink"/>
          </w:rPr>
          <w:t>2015/1601</w:t>
        </w:r>
      </w:hyperlink>
      <w:r>
        <w:t xml:space="preserve">, and </w:t>
      </w:r>
      <w:hyperlink r:id="rId61" w:history="1">
        <w:r>
          <w:rPr>
            <w:rStyle w:val="Hyperlink"/>
          </w:rPr>
          <w:t>IP/17/5002</w:t>
        </w:r>
      </w:hyperlink>
      <w:r>
        <w:t>.</w:t>
      </w:r>
    </w:p>
  </w:footnote>
  <w:footnote w:id="45">
    <w:p w:rsidR="00E26342" w:rsidRDefault="00040788">
      <w:pPr>
        <w:pStyle w:val="FootnoteText"/>
      </w:pPr>
      <w:r>
        <w:rPr>
          <w:rStyle w:val="FootnoteReference"/>
        </w:rPr>
        <w:footnoteRef/>
      </w:r>
      <w:r>
        <w:t xml:space="preserve"> </w:t>
      </w:r>
      <w:r>
        <w:tab/>
        <w:t>Slova</w:t>
      </w:r>
      <w:r>
        <w:t xml:space="preserve">kia v Council, </w:t>
      </w:r>
      <w:hyperlink r:id="rId62" w:history="1">
        <w:r>
          <w:rPr>
            <w:rStyle w:val="Hyperlink"/>
          </w:rPr>
          <w:t>C-643/15</w:t>
        </w:r>
      </w:hyperlink>
      <w:r>
        <w:t xml:space="preserve">, Hungary v Council, </w:t>
      </w:r>
      <w:hyperlink r:id="rId63" w:history="1">
        <w:r>
          <w:rPr>
            <w:rStyle w:val="Hyperlink"/>
          </w:rPr>
          <w:t>C-647/15</w:t>
        </w:r>
      </w:hyperlink>
      <w:r>
        <w:t xml:space="preserve"> an</w:t>
      </w:r>
      <w:r>
        <w:t xml:space="preserve">d Court press release No </w:t>
      </w:r>
      <w:hyperlink r:id="rId64" w:history="1">
        <w:r>
          <w:rPr>
            <w:rStyle w:val="Hyperlink"/>
          </w:rPr>
          <w:t>91/17</w:t>
        </w:r>
      </w:hyperlink>
      <w:r>
        <w:t>.</w:t>
      </w:r>
    </w:p>
  </w:footnote>
  <w:footnote w:id="46">
    <w:p w:rsidR="00E26342" w:rsidRDefault="00040788">
      <w:pPr>
        <w:pStyle w:val="FootnoteText"/>
      </w:pPr>
      <w:r>
        <w:rPr>
          <w:rStyle w:val="FootnoteReference"/>
        </w:rPr>
        <w:footnoteRef/>
      </w:r>
      <w:r>
        <w:t xml:space="preserve"> </w:t>
      </w:r>
      <w:r>
        <w:tab/>
        <w:t xml:space="preserve">Hungary v Commission, Case </w:t>
      </w:r>
      <w:hyperlink r:id="rId65" w:history="1">
        <w:r>
          <w:rPr>
            <w:rStyle w:val="Hyperlink"/>
          </w:rPr>
          <w:t>T-542/15</w:t>
        </w:r>
      </w:hyperlink>
      <w:r>
        <w:t>.</w:t>
      </w:r>
    </w:p>
  </w:footnote>
  <w:footnote w:id="47">
    <w:p w:rsidR="00E26342" w:rsidRDefault="00040788">
      <w:pPr>
        <w:pStyle w:val="FootnoteText"/>
      </w:pPr>
      <w:r>
        <w:rPr>
          <w:rStyle w:val="FootnoteReference"/>
        </w:rPr>
        <w:footnoteRef/>
      </w:r>
      <w:r>
        <w:t xml:space="preserve"> </w:t>
      </w:r>
      <w:r>
        <w:tab/>
      </w:r>
      <w:r>
        <w:rPr>
          <w:rStyle w:val="affairetitle"/>
        </w:rPr>
        <w:t xml:space="preserve">Unibet International, </w:t>
      </w:r>
      <w:hyperlink r:id="rId66" w:history="1">
        <w:r>
          <w:rPr>
            <w:rStyle w:val="Hyperlink"/>
          </w:rPr>
          <w:t>C-49/16</w:t>
        </w:r>
      </w:hyperlink>
      <w:r>
        <w:t>.</w:t>
      </w:r>
    </w:p>
  </w:footnote>
  <w:footnote w:id="48">
    <w:p w:rsidR="00E26342" w:rsidRDefault="00040788">
      <w:pPr>
        <w:pStyle w:val="FootnoteText"/>
      </w:pPr>
      <w:r>
        <w:rPr>
          <w:rStyle w:val="FootnoteReference"/>
        </w:rPr>
        <w:footnoteRef/>
      </w:r>
      <w:r>
        <w:t xml:space="preserve"> </w:t>
      </w:r>
      <w:r>
        <w:tab/>
        <w:t xml:space="preserve">Túrkevei Tejtermelő Kft., </w:t>
      </w:r>
      <w:hyperlink r:id="rId67" w:history="1">
        <w:r>
          <w:rPr>
            <w:rStyle w:val="Hyperlink"/>
          </w:rPr>
          <w:t>C-129/1</w:t>
        </w:r>
        <w:r>
          <w:rPr>
            <w:rStyle w:val="Hyperlink"/>
          </w:rPr>
          <w:t>6</w:t>
        </w:r>
      </w:hyperlink>
      <w:r>
        <w:t>.</w:t>
      </w:r>
    </w:p>
  </w:footnote>
  <w:footnote w:id="49">
    <w:p w:rsidR="00E26342" w:rsidRDefault="00040788">
      <w:pPr>
        <w:pStyle w:val="FootnoteText"/>
      </w:pPr>
      <w:r>
        <w:rPr>
          <w:rStyle w:val="FootnoteReference"/>
        </w:rPr>
        <w:footnoteRef/>
      </w:r>
      <w:r>
        <w:t xml:space="preserve"> </w:t>
      </w:r>
      <w:r>
        <w:tab/>
      </w:r>
      <w:r>
        <w:rPr>
          <w:szCs w:val="18"/>
        </w:rPr>
        <w:t xml:space="preserve">Directive </w:t>
      </w:r>
      <w:hyperlink r:id="rId68" w:history="1">
        <w:r>
          <w:rPr>
            <w:rStyle w:val="Hyperlink"/>
            <w:szCs w:val="18"/>
          </w:rPr>
          <w:t>1999/62/EC</w:t>
        </w:r>
      </w:hyperlink>
      <w:r>
        <w:rPr>
          <w:szCs w:val="18"/>
        </w:rPr>
        <w:t xml:space="preserve">, as amended by Directive </w:t>
      </w:r>
      <w:hyperlink r:id="rId69" w:history="1">
        <w:r>
          <w:rPr>
            <w:rStyle w:val="Hyperlink"/>
            <w:szCs w:val="18"/>
          </w:rPr>
          <w:t>2011/76/EU</w:t>
        </w:r>
      </w:hyperlink>
      <w:r>
        <w:rPr>
          <w:szCs w:val="18"/>
        </w:rPr>
        <w:t>.</w:t>
      </w:r>
    </w:p>
  </w:footnote>
  <w:footnote w:id="50">
    <w:p w:rsidR="00E26342" w:rsidRDefault="00040788">
      <w:pPr>
        <w:pStyle w:val="FootnoteText"/>
      </w:pPr>
      <w:r>
        <w:rPr>
          <w:rStyle w:val="FootnoteReference"/>
        </w:rPr>
        <w:footnoteRef/>
      </w:r>
      <w:r>
        <w:t xml:space="preserve"> </w:t>
      </w:r>
      <w:r>
        <w:tab/>
        <w:t xml:space="preserve">Joined cases: </w:t>
      </w:r>
      <w:r>
        <w:rPr>
          <w:rStyle w:val="affairetitle"/>
        </w:rPr>
        <w:t xml:space="preserve">Euro-Team </w:t>
      </w:r>
      <w:hyperlink r:id="rId70" w:history="1">
        <w:r>
          <w:rPr>
            <w:rStyle w:val="Hyperlink"/>
          </w:rPr>
          <w:t>C-497/15</w:t>
        </w:r>
      </w:hyperlink>
      <w:r>
        <w:rPr>
          <w:rStyle w:val="Hyperlink"/>
        </w:rPr>
        <w:t xml:space="preserve"> </w:t>
      </w:r>
      <w:r>
        <w:t xml:space="preserve">, Spirál-Gép </w:t>
      </w:r>
      <w:hyperlink r:id="rId71" w:history="1">
        <w:r>
          <w:rPr>
            <w:rStyle w:val="Hyperlink"/>
          </w:rPr>
          <w:t>C</w:t>
        </w:r>
        <w:r>
          <w:rPr>
            <w:rStyle w:val="Hyperlink"/>
          </w:rPr>
          <w:t>-498/15</w:t>
        </w:r>
      </w:hyperlink>
      <w:r>
        <w:t>.</w:t>
      </w:r>
    </w:p>
  </w:footnote>
  <w:footnote w:id="51">
    <w:p w:rsidR="00E26342" w:rsidRDefault="00040788">
      <w:pPr>
        <w:pStyle w:val="FootnoteText"/>
        <w:rPr>
          <w:lang w:val="pt-PT"/>
        </w:rPr>
      </w:pPr>
      <w:r>
        <w:rPr>
          <w:rStyle w:val="FootnoteReference"/>
        </w:rPr>
        <w:footnoteRef/>
      </w:r>
      <w:r>
        <w:rPr>
          <w:lang w:val="pt-PT"/>
        </w:rPr>
        <w:t xml:space="preserve"> </w:t>
      </w:r>
      <w:r>
        <w:rPr>
          <w:lang w:val="pt-PT"/>
        </w:rPr>
        <w:tab/>
        <w:t xml:space="preserve">Directive </w:t>
      </w:r>
      <w:hyperlink r:id="rId72" w:history="1">
        <w:r>
          <w:rPr>
            <w:rStyle w:val="Hyperlink"/>
            <w:lang w:val="pt-PT"/>
          </w:rPr>
          <w:t>2015/849/EU</w:t>
        </w:r>
      </w:hyperlink>
      <w:r>
        <w:rPr>
          <w:lang w:val="pt-PT"/>
        </w:rPr>
        <w:t xml:space="preserve">; </w:t>
      </w:r>
      <w:hyperlink r:id="rId73" w:history="1">
        <w:r>
          <w:rPr>
            <w:rStyle w:val="Hyperlink"/>
            <w:lang w:val="pt-PT"/>
          </w:rPr>
          <w:t>MEMO/17/4767</w:t>
        </w:r>
      </w:hyperlink>
      <w:r>
        <w:rPr>
          <w:lang w:val="pt-PT"/>
        </w:rPr>
        <w:t>.</w:t>
      </w:r>
    </w:p>
  </w:footnote>
  <w:footnote w:id="52">
    <w:p w:rsidR="00E26342" w:rsidRDefault="00040788">
      <w:pPr>
        <w:pStyle w:val="FootnoteText"/>
        <w:rPr>
          <w:lang w:val="pt-PT"/>
        </w:rPr>
      </w:pPr>
      <w:r>
        <w:rPr>
          <w:rStyle w:val="FootnoteReference"/>
        </w:rPr>
        <w:footnoteRef/>
      </w:r>
      <w:r>
        <w:rPr>
          <w:lang w:val="pt-PT"/>
        </w:rPr>
        <w:t xml:space="preserve"> </w:t>
      </w:r>
      <w:r>
        <w:rPr>
          <w:lang w:val="pt-PT"/>
        </w:rPr>
        <w:tab/>
        <w:t xml:space="preserve">Directive </w:t>
      </w:r>
      <w:hyperlink r:id="rId74" w:history="1">
        <w:r>
          <w:rPr>
            <w:rStyle w:val="Hyperlink"/>
            <w:lang w:val="pt-PT"/>
          </w:rPr>
          <w:t>2013/55/EU</w:t>
        </w:r>
      </w:hyperlink>
      <w:r>
        <w:rPr>
          <w:lang w:val="pt-PT"/>
        </w:rPr>
        <w:t>.</w:t>
      </w:r>
    </w:p>
  </w:footnote>
  <w:footnote w:id="53">
    <w:p w:rsidR="00E26342" w:rsidRDefault="00040788">
      <w:pPr>
        <w:pStyle w:val="FootnoteText"/>
        <w:rPr>
          <w:lang w:val="pt-PT"/>
        </w:rPr>
      </w:pPr>
      <w:r>
        <w:rPr>
          <w:rStyle w:val="FootnoteReference"/>
        </w:rPr>
        <w:footnoteRef/>
      </w:r>
      <w:r>
        <w:rPr>
          <w:lang w:val="pt-PT"/>
        </w:rPr>
        <w:t xml:space="preserve"> </w:t>
      </w:r>
      <w:r>
        <w:rPr>
          <w:lang w:val="pt-PT"/>
        </w:rPr>
        <w:tab/>
        <w:t xml:space="preserve">Directive </w:t>
      </w:r>
      <w:hyperlink r:id="rId75" w:history="1">
        <w:r>
          <w:rPr>
            <w:rStyle w:val="Hyperlink"/>
            <w:lang w:val="pt-PT"/>
          </w:rPr>
          <w:t>2014/65/EU</w:t>
        </w:r>
      </w:hyperlink>
      <w:r>
        <w:rPr>
          <w:lang w:val="pt-PT"/>
        </w:rPr>
        <w:t>.</w:t>
      </w:r>
    </w:p>
  </w:footnote>
  <w:footnote w:id="54">
    <w:p w:rsidR="00E26342" w:rsidRDefault="00040788">
      <w:pPr>
        <w:pStyle w:val="FootnoteText"/>
        <w:rPr>
          <w:lang w:val="pt-PT"/>
        </w:rPr>
      </w:pPr>
      <w:r>
        <w:rPr>
          <w:rStyle w:val="FootnoteReference"/>
        </w:rPr>
        <w:footnoteRef/>
      </w:r>
      <w:r>
        <w:rPr>
          <w:lang w:val="pt-PT"/>
        </w:rPr>
        <w:t xml:space="preserve"> </w:t>
      </w:r>
      <w:r>
        <w:rPr>
          <w:lang w:val="pt-PT"/>
        </w:rPr>
        <w:tab/>
        <w:t xml:space="preserve">Council Directive (EU) </w:t>
      </w:r>
      <w:hyperlink r:id="rId76" w:history="1">
        <w:r>
          <w:rPr>
            <w:rStyle w:val="Hyperlink"/>
            <w:lang w:val="pt-PT"/>
          </w:rPr>
          <w:t>2015/652</w:t>
        </w:r>
      </w:hyperlink>
      <w:r>
        <w:rPr>
          <w:lang w:val="pt-PT"/>
        </w:rPr>
        <w:t>.</w:t>
      </w:r>
    </w:p>
  </w:footnote>
  <w:footnote w:id="55">
    <w:p w:rsidR="00E26342" w:rsidRDefault="00040788">
      <w:pPr>
        <w:pStyle w:val="FootnoteText"/>
        <w:rPr>
          <w:lang w:val="pt-PT"/>
        </w:rPr>
      </w:pPr>
      <w:r>
        <w:rPr>
          <w:rStyle w:val="FootnoteReference"/>
        </w:rPr>
        <w:footnoteRef/>
      </w:r>
      <w:r>
        <w:rPr>
          <w:lang w:val="pt-PT"/>
        </w:rPr>
        <w:t xml:space="preserve"> </w:t>
      </w:r>
      <w:r>
        <w:rPr>
          <w:lang w:val="pt-PT"/>
        </w:rPr>
        <w:tab/>
        <w:t xml:space="preserve">Directive </w:t>
      </w:r>
      <w:hyperlink r:id="rId77" w:history="1">
        <w:r>
          <w:rPr>
            <w:rStyle w:val="Hyperlink"/>
            <w:lang w:val="pt-PT"/>
          </w:rPr>
          <w:t>98/70/EC</w:t>
        </w:r>
      </w:hyperlink>
      <w:r>
        <w:rPr>
          <w:lang w:val="pt-PT"/>
        </w:rPr>
        <w:t>.</w:t>
      </w:r>
    </w:p>
  </w:footnote>
  <w:footnote w:id="56">
    <w:p w:rsidR="00E26342" w:rsidRDefault="00040788">
      <w:pPr>
        <w:pStyle w:val="FootnoteText"/>
        <w:rPr>
          <w:lang w:val="pt-PT"/>
        </w:rPr>
      </w:pPr>
      <w:r>
        <w:rPr>
          <w:rStyle w:val="FootnoteReference"/>
        </w:rPr>
        <w:footnoteRef/>
      </w:r>
      <w:r>
        <w:rPr>
          <w:lang w:val="pt-PT"/>
        </w:rPr>
        <w:t xml:space="preserve"> </w:t>
      </w:r>
      <w:r>
        <w:rPr>
          <w:lang w:val="pt-PT"/>
        </w:rPr>
        <w:tab/>
      </w:r>
      <w:hyperlink r:id="rId78" w:history="1">
        <w:r>
          <w:rPr>
            <w:rStyle w:val="Hyperlink"/>
            <w:lang w:val="pt-PT"/>
          </w:rPr>
          <w:t>MEMO/17/1281</w:t>
        </w:r>
      </w:hyperlink>
      <w:r>
        <w:rPr>
          <w:lang w:val="pt-PT"/>
        </w:rPr>
        <w:t>.</w:t>
      </w:r>
    </w:p>
  </w:footnote>
  <w:footnote w:id="57">
    <w:p w:rsidR="00E26342" w:rsidRDefault="00040788">
      <w:pPr>
        <w:pStyle w:val="FootnoteText"/>
        <w:rPr>
          <w:lang w:val="pt-PT"/>
        </w:rPr>
      </w:pPr>
      <w:r>
        <w:rPr>
          <w:rStyle w:val="FootnoteReference"/>
        </w:rPr>
        <w:footnoteRef/>
      </w:r>
      <w:r>
        <w:rPr>
          <w:lang w:val="pt-PT"/>
        </w:rPr>
        <w:t xml:space="preserve"> </w:t>
      </w:r>
      <w:r>
        <w:rPr>
          <w:lang w:val="pt-PT"/>
        </w:rPr>
        <w:tab/>
      </w:r>
      <w:hyperlink r:id="rId79" w:history="1">
        <w:r>
          <w:rPr>
            <w:rStyle w:val="Hyperlink"/>
            <w:lang w:val="pt-PT"/>
          </w:rPr>
          <w:t>MEMO/17/3494</w:t>
        </w:r>
      </w:hyperlink>
      <w:r>
        <w:rPr>
          <w:lang w:val="pt-PT"/>
        </w:rPr>
        <w:t>.</w:t>
      </w:r>
    </w:p>
  </w:footnote>
  <w:footnote w:id="58">
    <w:p w:rsidR="00E26342" w:rsidRDefault="00040788">
      <w:pPr>
        <w:pStyle w:val="FootnoteText"/>
        <w:rPr>
          <w:lang w:val="pt-PT"/>
        </w:rPr>
      </w:pPr>
      <w:r>
        <w:rPr>
          <w:rStyle w:val="FootnoteReference"/>
        </w:rPr>
        <w:footnoteRef/>
      </w:r>
      <w:r>
        <w:rPr>
          <w:lang w:val="pt-PT"/>
        </w:rPr>
        <w:t xml:space="preserve"> </w:t>
      </w:r>
      <w:r>
        <w:rPr>
          <w:lang w:val="pt-PT"/>
        </w:rPr>
        <w:tab/>
        <w:t xml:space="preserve">Directive </w:t>
      </w:r>
      <w:hyperlink r:id="rId80" w:history="1">
        <w:r>
          <w:rPr>
            <w:rStyle w:val="Hyperlink"/>
            <w:lang w:val="pt-PT"/>
          </w:rPr>
          <w:t>2008/56/EC</w:t>
        </w:r>
      </w:hyperlink>
      <w:r>
        <w:rPr>
          <w:lang w:val="pt-PT"/>
        </w:rPr>
        <w:t>.</w:t>
      </w:r>
    </w:p>
  </w:footnote>
  <w:footnote w:id="59">
    <w:p w:rsidR="00E26342" w:rsidRDefault="00040788">
      <w:pPr>
        <w:pStyle w:val="FootnoteText"/>
        <w:rPr>
          <w:lang w:val="pt-PT"/>
        </w:rPr>
      </w:pPr>
      <w:r>
        <w:rPr>
          <w:rStyle w:val="FootnoteReference"/>
        </w:rPr>
        <w:footnoteRef/>
      </w:r>
      <w:r>
        <w:rPr>
          <w:lang w:val="pt-PT"/>
        </w:rPr>
        <w:t xml:space="preserve"> </w:t>
      </w:r>
      <w:r>
        <w:rPr>
          <w:lang w:val="pt-PT"/>
        </w:rPr>
        <w:tab/>
        <w:t xml:space="preserve">Directive </w:t>
      </w:r>
      <w:hyperlink r:id="rId81" w:history="1">
        <w:r>
          <w:rPr>
            <w:rStyle w:val="Hyperlink"/>
            <w:lang w:val="pt-PT"/>
          </w:rPr>
          <w:t>2010/31/EU</w:t>
        </w:r>
      </w:hyperlink>
      <w:r>
        <w:rPr>
          <w:lang w:val="pt-PT"/>
        </w:rPr>
        <w:t xml:space="preserve">; </w:t>
      </w:r>
      <w:hyperlink r:id="rId82" w:history="1">
        <w:r>
          <w:rPr>
            <w:rStyle w:val="Hyperlink"/>
            <w:lang w:val="pt-PT"/>
          </w:rPr>
          <w:t>MEMO/17/4</w:t>
        </w:r>
        <w:r>
          <w:rPr>
            <w:rStyle w:val="Hyperlink"/>
            <w:lang w:val="pt-PT"/>
          </w:rPr>
          <w:t>767</w:t>
        </w:r>
      </w:hyperlink>
      <w:r>
        <w:rPr>
          <w:lang w:val="pt-PT"/>
        </w:rPr>
        <w:t>.</w:t>
      </w:r>
    </w:p>
  </w:footnote>
  <w:footnote w:id="60">
    <w:p w:rsidR="00E26342" w:rsidRDefault="00040788">
      <w:pPr>
        <w:pStyle w:val="FootnoteText"/>
        <w:rPr>
          <w:lang w:val="pt-PT"/>
        </w:rPr>
      </w:pPr>
      <w:r>
        <w:rPr>
          <w:rStyle w:val="FootnoteReference"/>
        </w:rPr>
        <w:footnoteRef/>
      </w:r>
      <w:r>
        <w:rPr>
          <w:lang w:val="pt-PT"/>
        </w:rPr>
        <w:t xml:space="preserve"> </w:t>
      </w:r>
      <w:r>
        <w:rPr>
          <w:lang w:val="pt-PT"/>
        </w:rPr>
        <w:tab/>
        <w:t xml:space="preserve">Directive </w:t>
      </w:r>
      <w:hyperlink r:id="rId83" w:history="1">
        <w:r>
          <w:rPr>
            <w:rStyle w:val="Hyperlink"/>
            <w:lang w:val="pt-PT"/>
          </w:rPr>
          <w:t>2014/24/EU</w:t>
        </w:r>
      </w:hyperlink>
      <w:r>
        <w:rPr>
          <w:lang w:val="pt-PT"/>
        </w:rPr>
        <w:t>.</w:t>
      </w:r>
    </w:p>
  </w:footnote>
  <w:footnote w:id="61">
    <w:p w:rsidR="00E26342" w:rsidRDefault="00040788">
      <w:pPr>
        <w:pStyle w:val="FootnoteText"/>
        <w:rPr>
          <w:lang w:val="pt-PT"/>
        </w:rPr>
      </w:pPr>
      <w:r>
        <w:rPr>
          <w:rStyle w:val="FootnoteReference"/>
        </w:rPr>
        <w:footnoteRef/>
      </w:r>
      <w:r>
        <w:rPr>
          <w:lang w:val="pt-PT"/>
        </w:rPr>
        <w:t xml:space="preserve"> </w:t>
      </w:r>
      <w:r>
        <w:rPr>
          <w:lang w:val="pt-PT"/>
        </w:rPr>
        <w:tab/>
        <w:t xml:space="preserve">Directive </w:t>
      </w:r>
      <w:hyperlink r:id="rId84" w:history="1">
        <w:r>
          <w:rPr>
            <w:rStyle w:val="Hyperlink"/>
            <w:lang w:val="pt-PT"/>
          </w:rPr>
          <w:t>2</w:t>
        </w:r>
        <w:r>
          <w:rPr>
            <w:rStyle w:val="Hyperlink"/>
            <w:lang w:val="pt-PT"/>
          </w:rPr>
          <w:t>014/23/EU</w:t>
        </w:r>
      </w:hyperlink>
      <w:r>
        <w:rPr>
          <w:lang w:val="pt-PT"/>
        </w:rPr>
        <w:t>.</w:t>
      </w:r>
    </w:p>
  </w:footnote>
  <w:footnote w:id="62">
    <w:p w:rsidR="00E26342" w:rsidRDefault="00040788">
      <w:pPr>
        <w:pStyle w:val="FootnoteText"/>
        <w:rPr>
          <w:lang w:val="pt-PT"/>
        </w:rPr>
      </w:pPr>
      <w:r>
        <w:rPr>
          <w:rStyle w:val="FootnoteReference"/>
        </w:rPr>
        <w:footnoteRef/>
      </w:r>
      <w:r>
        <w:rPr>
          <w:lang w:val="pt-PT"/>
        </w:rPr>
        <w:t xml:space="preserve"> </w:t>
      </w:r>
      <w:r>
        <w:rPr>
          <w:lang w:val="pt-PT"/>
        </w:rPr>
        <w:tab/>
        <w:t xml:space="preserve">Directive </w:t>
      </w:r>
      <w:hyperlink r:id="rId85" w:history="1">
        <w:r>
          <w:rPr>
            <w:rStyle w:val="Hyperlink"/>
            <w:lang w:val="pt-PT"/>
          </w:rPr>
          <w:t>2014/25/EU</w:t>
        </w:r>
      </w:hyperlink>
      <w:r>
        <w:rPr>
          <w:lang w:val="pt-PT"/>
        </w:rPr>
        <w:t>.</w:t>
      </w:r>
    </w:p>
  </w:footnote>
  <w:footnote w:id="63">
    <w:p w:rsidR="00E26342" w:rsidRDefault="00040788">
      <w:pPr>
        <w:pStyle w:val="FootnoteText"/>
        <w:rPr>
          <w:lang w:val="pt-PT"/>
        </w:rPr>
      </w:pPr>
      <w:r>
        <w:rPr>
          <w:rStyle w:val="FootnoteReference"/>
        </w:rPr>
        <w:footnoteRef/>
      </w:r>
      <w:r>
        <w:rPr>
          <w:lang w:val="pt-PT"/>
        </w:rPr>
        <w:t xml:space="preserve"> </w:t>
      </w:r>
      <w:r>
        <w:rPr>
          <w:lang w:val="pt-PT"/>
        </w:rPr>
        <w:tab/>
        <w:t xml:space="preserve">Directive </w:t>
      </w:r>
      <w:hyperlink r:id="rId86" w:history="1">
        <w:r>
          <w:rPr>
            <w:rStyle w:val="Hyperlink"/>
            <w:lang w:val="pt-PT"/>
          </w:rPr>
          <w:t>2011/95/EU</w:t>
        </w:r>
      </w:hyperlink>
      <w:r>
        <w:rPr>
          <w:lang w:val="pt-PT"/>
        </w:rPr>
        <w:t>.</w:t>
      </w:r>
    </w:p>
  </w:footnote>
  <w:footnote w:id="64">
    <w:p w:rsidR="00E26342" w:rsidRDefault="00040788">
      <w:pPr>
        <w:pStyle w:val="FootnoteText"/>
        <w:rPr>
          <w:lang w:val="pt-PT"/>
        </w:rPr>
      </w:pPr>
      <w:r>
        <w:rPr>
          <w:rStyle w:val="FootnoteReference"/>
        </w:rPr>
        <w:footnoteRef/>
      </w:r>
      <w:r>
        <w:rPr>
          <w:lang w:val="pt-PT"/>
        </w:rPr>
        <w:t xml:space="preserve"> </w:t>
      </w:r>
      <w:r>
        <w:rPr>
          <w:lang w:val="pt-PT"/>
        </w:rPr>
        <w:tab/>
        <w:t xml:space="preserve">Directive </w:t>
      </w:r>
      <w:hyperlink r:id="rId87" w:history="1">
        <w:r>
          <w:rPr>
            <w:rStyle w:val="Hyperlink"/>
            <w:lang w:val="pt-PT"/>
          </w:rPr>
          <w:t>2014/36/EU</w:t>
        </w:r>
      </w:hyperlink>
      <w:r>
        <w:rPr>
          <w:lang w:val="pt-PT"/>
        </w:rPr>
        <w:t>.</w:t>
      </w:r>
    </w:p>
  </w:footnote>
  <w:footnote w:id="65">
    <w:p w:rsidR="00E26342" w:rsidRDefault="00040788">
      <w:pPr>
        <w:pStyle w:val="FootnoteText"/>
        <w:rPr>
          <w:lang w:val="pt-PT"/>
        </w:rPr>
      </w:pPr>
      <w:r>
        <w:rPr>
          <w:rStyle w:val="FootnoteReference"/>
        </w:rPr>
        <w:footnoteRef/>
      </w:r>
      <w:r>
        <w:rPr>
          <w:lang w:val="pt-PT"/>
        </w:rPr>
        <w:t xml:space="preserve"> </w:t>
      </w:r>
      <w:r>
        <w:rPr>
          <w:lang w:val="pt-PT"/>
        </w:rPr>
        <w:tab/>
        <w:t xml:space="preserve">Directive </w:t>
      </w:r>
      <w:hyperlink r:id="rId88" w:history="1">
        <w:r>
          <w:rPr>
            <w:rStyle w:val="Hyperlink"/>
            <w:lang w:val="pt-PT"/>
          </w:rPr>
          <w:t>2009/138/EC</w:t>
        </w:r>
      </w:hyperlink>
      <w:r>
        <w:rPr>
          <w:lang w:val="pt-PT"/>
        </w:rPr>
        <w:t>.</w:t>
      </w:r>
    </w:p>
  </w:footnote>
  <w:footnote w:id="66">
    <w:p w:rsidR="00E26342" w:rsidRDefault="00040788">
      <w:pPr>
        <w:pStyle w:val="FootnoteText"/>
        <w:rPr>
          <w:lang w:val="pt-PT"/>
        </w:rPr>
      </w:pPr>
      <w:r>
        <w:rPr>
          <w:rStyle w:val="FootnoteReference"/>
        </w:rPr>
        <w:footnoteRef/>
      </w:r>
      <w:r>
        <w:rPr>
          <w:lang w:val="pt-PT"/>
        </w:rPr>
        <w:t xml:space="preserve"> </w:t>
      </w:r>
      <w:r>
        <w:rPr>
          <w:lang w:val="pt-PT"/>
        </w:rPr>
        <w:tab/>
        <w:t xml:space="preserve">Directive </w:t>
      </w:r>
      <w:hyperlink r:id="rId89" w:history="1">
        <w:r>
          <w:rPr>
            <w:rStyle w:val="Hyperlink"/>
            <w:lang w:val="pt-PT"/>
          </w:rPr>
          <w:t>2014/51/EU</w:t>
        </w:r>
      </w:hyperlink>
      <w:r>
        <w:rPr>
          <w:lang w:val="pt-PT"/>
        </w:rPr>
        <w:t>.</w:t>
      </w:r>
    </w:p>
  </w:footnote>
  <w:footnote w:id="67">
    <w:p w:rsidR="00E26342" w:rsidRDefault="00040788">
      <w:pPr>
        <w:pStyle w:val="FootnoteText"/>
        <w:rPr>
          <w:lang w:val="pt-PT"/>
        </w:rPr>
      </w:pPr>
      <w:r>
        <w:rPr>
          <w:rStyle w:val="FootnoteReference"/>
        </w:rPr>
        <w:footnoteRef/>
      </w:r>
      <w:r>
        <w:rPr>
          <w:lang w:val="pt-PT"/>
        </w:rPr>
        <w:t xml:space="preserve"> </w:t>
      </w:r>
      <w:r>
        <w:rPr>
          <w:lang w:val="pt-PT"/>
        </w:rPr>
        <w:tab/>
        <w:t xml:space="preserve">Directive </w:t>
      </w:r>
      <w:hyperlink r:id="rId90" w:history="1">
        <w:r>
          <w:rPr>
            <w:rStyle w:val="Hyperlink"/>
            <w:lang w:val="pt-PT"/>
          </w:rPr>
          <w:t>2013/34/EU</w:t>
        </w:r>
      </w:hyperlink>
      <w:r>
        <w:rPr>
          <w:lang w:val="pt-PT"/>
        </w:rPr>
        <w:t>.</w:t>
      </w:r>
    </w:p>
  </w:footnote>
  <w:footnote w:id="68">
    <w:p w:rsidR="00E26342" w:rsidRDefault="00040788">
      <w:pPr>
        <w:pStyle w:val="FootnoteText"/>
        <w:rPr>
          <w:lang w:val="fr-FR"/>
        </w:rPr>
      </w:pPr>
      <w:r>
        <w:rPr>
          <w:rStyle w:val="FootnoteReference"/>
        </w:rPr>
        <w:footnoteRef/>
      </w:r>
      <w:r>
        <w:rPr>
          <w:lang w:val="fr-FR"/>
        </w:rPr>
        <w:t xml:space="preserve"> </w:t>
      </w:r>
      <w:r>
        <w:rPr>
          <w:lang w:val="fr-FR"/>
        </w:rPr>
        <w:tab/>
        <w:t xml:space="preserve">Directive </w:t>
      </w:r>
      <w:hyperlink r:id="rId91" w:history="1">
        <w:r>
          <w:rPr>
            <w:rStyle w:val="Hyperlink"/>
            <w:lang w:val="fr-FR"/>
          </w:rPr>
          <w:t>2014/49/EU.</w:t>
        </w:r>
      </w:hyperlink>
    </w:p>
  </w:footnote>
  <w:footnote w:id="69">
    <w:p w:rsidR="00E26342" w:rsidRDefault="00040788">
      <w:pPr>
        <w:pStyle w:val="FootnoteText"/>
        <w:rPr>
          <w:lang w:val="fr-FR"/>
        </w:rPr>
      </w:pPr>
      <w:r>
        <w:rPr>
          <w:rStyle w:val="FootnoteReference"/>
        </w:rPr>
        <w:footnoteRef/>
      </w:r>
      <w:r>
        <w:rPr>
          <w:lang w:val="fr-FR"/>
        </w:rPr>
        <w:t xml:space="preserve"> </w:t>
      </w:r>
      <w:r>
        <w:rPr>
          <w:lang w:val="fr-FR"/>
        </w:rPr>
        <w:tab/>
        <w:t xml:space="preserve">Directive </w:t>
      </w:r>
      <w:hyperlink r:id="rId92" w:history="1">
        <w:r>
          <w:rPr>
            <w:rStyle w:val="Hyperlink"/>
            <w:lang w:val="fr-FR"/>
          </w:rPr>
          <w:t>2008/56/EC</w:t>
        </w:r>
      </w:hyperlink>
      <w:r>
        <w:rPr>
          <w:lang w:val="fr-FR"/>
        </w:rPr>
        <w:t>.</w:t>
      </w:r>
    </w:p>
  </w:footnote>
  <w:footnote w:id="70">
    <w:p w:rsidR="00E26342" w:rsidRDefault="00040788">
      <w:pPr>
        <w:pStyle w:val="FootnoteText"/>
        <w:rPr>
          <w:lang w:val="fr-FR"/>
        </w:rPr>
      </w:pPr>
      <w:r>
        <w:rPr>
          <w:rStyle w:val="FootnoteReference"/>
        </w:rPr>
        <w:footnoteRef/>
      </w:r>
      <w:r>
        <w:rPr>
          <w:lang w:val="fr-FR"/>
        </w:rPr>
        <w:t xml:space="preserve"> </w:t>
      </w:r>
      <w:r>
        <w:rPr>
          <w:lang w:val="fr-FR"/>
        </w:rPr>
        <w:tab/>
      </w:r>
      <w:r>
        <w:rPr>
          <w:lang w:val="fr-BE"/>
        </w:rPr>
        <w:t xml:space="preserve">Directive </w:t>
      </w:r>
      <w:hyperlink r:id="rId93" w:history="1">
        <w:r>
          <w:rPr>
            <w:rStyle w:val="Hyperlink"/>
            <w:lang w:val="fr-BE"/>
          </w:rPr>
          <w:t>2005/36/EC</w:t>
        </w:r>
      </w:hyperlink>
      <w:r>
        <w:rPr>
          <w:lang w:val="fr-BE"/>
        </w:rPr>
        <w:t xml:space="preserve"> </w:t>
      </w:r>
      <w:r>
        <w:rPr>
          <w:lang w:val="fr-FR"/>
        </w:rPr>
        <w:t>amended by Direc</w:t>
      </w:r>
      <w:r>
        <w:rPr>
          <w:lang w:val="fr-FR"/>
        </w:rPr>
        <w:t xml:space="preserve">tive </w:t>
      </w:r>
      <w:hyperlink r:id="rId94" w:history="1">
        <w:r>
          <w:rPr>
            <w:rStyle w:val="Hyperlink"/>
            <w:lang w:val="fr-FR"/>
          </w:rPr>
          <w:t>2013/55/EU</w:t>
        </w:r>
      </w:hyperlink>
      <w:r>
        <w:rPr>
          <w:lang w:val="fr-FR"/>
        </w:rPr>
        <w:t xml:space="preserve">, Malta Dental Technologists Association et Reynaud, </w:t>
      </w:r>
      <w:hyperlink r:id="rId95" w:history="1">
        <w:r>
          <w:rPr>
            <w:rStyle w:val="Hyperlink"/>
            <w:lang w:val="fr-FR"/>
          </w:rPr>
          <w:t>C-125/16</w:t>
        </w:r>
      </w:hyperlink>
      <w:r>
        <w:rPr>
          <w:lang w:val="fr-FR"/>
        </w:rPr>
        <w:t>.</w:t>
      </w:r>
    </w:p>
  </w:footnote>
  <w:footnote w:id="71">
    <w:p w:rsidR="00E26342" w:rsidRDefault="00040788">
      <w:pPr>
        <w:pStyle w:val="FootnoteText"/>
        <w:rPr>
          <w:lang w:val="pt-PT"/>
        </w:rPr>
      </w:pPr>
      <w:r>
        <w:rPr>
          <w:rStyle w:val="FootnoteReference"/>
        </w:rPr>
        <w:footnoteRef/>
      </w:r>
      <w:r>
        <w:rPr>
          <w:lang w:val="pt-PT"/>
        </w:rPr>
        <w:t xml:space="preserve"> </w:t>
      </w:r>
      <w:r>
        <w:rPr>
          <w:lang w:val="pt-PT"/>
        </w:rPr>
        <w:tab/>
        <w:t xml:space="preserve">Directive </w:t>
      </w:r>
      <w:hyperlink r:id="rId96" w:history="1">
        <w:r>
          <w:rPr>
            <w:rStyle w:val="Hyperlink"/>
            <w:lang w:val="pt-PT"/>
          </w:rPr>
          <w:t>2015/849/EU</w:t>
        </w:r>
      </w:hyperlink>
      <w:r>
        <w:rPr>
          <w:lang w:val="pt-PT"/>
        </w:rPr>
        <w:t xml:space="preserve">, </w:t>
      </w:r>
      <w:hyperlink r:id="rId97" w:history="1">
        <w:r>
          <w:rPr>
            <w:rStyle w:val="Hyperlink"/>
            <w:lang w:val="pt-PT"/>
          </w:rPr>
          <w:t>MEMO/17/4767</w:t>
        </w:r>
      </w:hyperlink>
      <w:r>
        <w:rPr>
          <w:lang w:val="pt-PT"/>
        </w:rPr>
        <w:t>.</w:t>
      </w:r>
    </w:p>
  </w:footnote>
  <w:footnote w:id="72">
    <w:p w:rsidR="00E26342" w:rsidRDefault="00040788">
      <w:pPr>
        <w:pStyle w:val="FootnoteText"/>
        <w:rPr>
          <w:lang w:val="pt-PT"/>
        </w:rPr>
      </w:pPr>
      <w:r>
        <w:rPr>
          <w:rStyle w:val="FootnoteReference"/>
        </w:rPr>
        <w:footnoteRef/>
      </w:r>
      <w:r>
        <w:rPr>
          <w:lang w:val="pt-PT"/>
        </w:rPr>
        <w:t xml:space="preserve"> </w:t>
      </w:r>
      <w:r>
        <w:rPr>
          <w:lang w:val="pt-PT"/>
        </w:rPr>
        <w:tab/>
        <w:t xml:space="preserve">Directive </w:t>
      </w:r>
      <w:hyperlink r:id="rId98" w:history="1">
        <w:r>
          <w:rPr>
            <w:rStyle w:val="Hyperlink"/>
            <w:lang w:val="pt-PT"/>
          </w:rPr>
          <w:t>2014/65/EU</w:t>
        </w:r>
      </w:hyperlink>
      <w:r>
        <w:rPr>
          <w:lang w:val="pt-PT"/>
        </w:rPr>
        <w:t>.</w:t>
      </w:r>
    </w:p>
  </w:footnote>
  <w:footnote w:id="73">
    <w:p w:rsidR="00E26342" w:rsidRDefault="00040788">
      <w:pPr>
        <w:pStyle w:val="FootnoteText"/>
      </w:pPr>
      <w:r>
        <w:rPr>
          <w:rStyle w:val="FootnoteReference"/>
        </w:rPr>
        <w:footnoteRef/>
      </w:r>
      <w:r>
        <w:t xml:space="preserve"> </w:t>
      </w:r>
      <w:r>
        <w:tab/>
        <w:t xml:space="preserve">Directive </w:t>
      </w:r>
      <w:hyperlink r:id="rId99" w:history="1">
        <w:r>
          <w:rPr>
            <w:rStyle w:val="Hyperlink"/>
          </w:rPr>
          <w:t>2014/92/EU</w:t>
        </w:r>
      </w:hyperlink>
      <w:r>
        <w:t>.</w:t>
      </w:r>
    </w:p>
  </w:footnote>
  <w:footnote w:id="74">
    <w:p w:rsidR="00E26342" w:rsidRDefault="00040788">
      <w:pPr>
        <w:pStyle w:val="FootnoteText"/>
      </w:pPr>
      <w:r>
        <w:rPr>
          <w:rStyle w:val="FootnoteReference"/>
        </w:rPr>
        <w:footnoteRef/>
      </w:r>
      <w:r>
        <w:t xml:space="preserve"> </w:t>
      </w:r>
      <w:r>
        <w:tab/>
        <w:t xml:space="preserve">Directive </w:t>
      </w:r>
      <w:hyperlink r:id="rId100" w:history="1">
        <w:r>
          <w:rPr>
            <w:rStyle w:val="Hyperlink"/>
          </w:rPr>
          <w:t>2009/72/EC</w:t>
        </w:r>
      </w:hyperlink>
      <w:r>
        <w:t xml:space="preserve"> and Directive </w:t>
      </w:r>
      <w:hyperlink r:id="rId101" w:history="1">
        <w:r>
          <w:rPr>
            <w:rStyle w:val="Hyperlink"/>
          </w:rPr>
          <w:t>2009/73/EC</w:t>
        </w:r>
      </w:hyperlink>
      <w:r>
        <w:t xml:space="preserve">, </w:t>
      </w:r>
      <w:hyperlink r:id="rId102" w:history="1">
        <w:r>
          <w:rPr>
            <w:rStyle w:val="Hyperlink"/>
          </w:rPr>
          <w:t>MEMO/17/1577</w:t>
        </w:r>
      </w:hyperlink>
      <w:r>
        <w:t>.</w:t>
      </w:r>
    </w:p>
  </w:footnote>
  <w:footnote w:id="75">
    <w:p w:rsidR="00E26342" w:rsidRDefault="00040788">
      <w:pPr>
        <w:pStyle w:val="FootnoteText"/>
      </w:pPr>
      <w:r>
        <w:rPr>
          <w:rStyle w:val="FootnoteReference"/>
        </w:rPr>
        <w:footnoteRef/>
      </w:r>
      <w:r>
        <w:t xml:space="preserve"> </w:t>
      </w:r>
      <w:r>
        <w:tab/>
      </w:r>
      <w:hyperlink r:id="rId103" w:history="1">
        <w:r>
          <w:rPr>
            <w:rStyle w:val="Hyperlink"/>
          </w:rPr>
          <w:t>MEMO/17/1281</w:t>
        </w:r>
      </w:hyperlink>
      <w:r>
        <w:t>.</w:t>
      </w:r>
    </w:p>
  </w:footnote>
  <w:footnote w:id="76">
    <w:p w:rsidR="00E26342" w:rsidRDefault="00040788">
      <w:pPr>
        <w:pStyle w:val="FootnoteText"/>
        <w:rPr>
          <w:highlight w:val="cyan"/>
        </w:rPr>
      </w:pPr>
      <w:r>
        <w:rPr>
          <w:rStyle w:val="FootnoteReference"/>
        </w:rPr>
        <w:footnoteRef/>
      </w:r>
      <w:r>
        <w:t xml:space="preserve"> </w:t>
      </w:r>
      <w:r>
        <w:tab/>
        <w:t xml:space="preserve">Regulation </w:t>
      </w:r>
      <w:hyperlink r:id="rId104" w:history="1">
        <w:r>
          <w:rPr>
            <w:rStyle w:val="Hyperlink"/>
          </w:rPr>
          <w:t>1552/89</w:t>
        </w:r>
      </w:hyperlink>
      <w:r>
        <w:rPr>
          <w:szCs w:val="18"/>
        </w:rPr>
        <w:t>,</w:t>
      </w:r>
      <w:r>
        <w:t xml:space="preserve"> Commission v Netherlands, </w:t>
      </w:r>
      <w:hyperlink r:id="rId105" w:history="1">
        <w:r>
          <w:rPr>
            <w:rStyle w:val="Hyperlink"/>
          </w:rPr>
          <w:t>C-395/17</w:t>
        </w:r>
      </w:hyperlink>
      <w:r>
        <w:rPr>
          <w:szCs w:val="18"/>
        </w:rPr>
        <w:t xml:space="preserve"> and</w:t>
      </w:r>
      <w:r>
        <w:t xml:space="preserve"> </w:t>
      </w:r>
      <w:hyperlink r:id="rId106" w:history="1">
        <w:r>
          <w:rPr>
            <w:rStyle w:val="Hyperlink"/>
          </w:rPr>
          <w:t>MEMO/16/3125</w:t>
        </w:r>
      </w:hyperlink>
      <w:r>
        <w:rPr>
          <w:szCs w:val="18"/>
        </w:rPr>
        <w:t>.</w:t>
      </w:r>
    </w:p>
  </w:footnote>
  <w:footnote w:id="77">
    <w:p w:rsidR="00E26342" w:rsidRDefault="00040788">
      <w:pPr>
        <w:pStyle w:val="FootnoteText"/>
        <w:rPr>
          <w:szCs w:val="18"/>
        </w:rPr>
      </w:pPr>
      <w:r>
        <w:rPr>
          <w:rStyle w:val="FootnoteReference"/>
        </w:rPr>
        <w:footnoteRef/>
      </w:r>
      <w:r>
        <w:t xml:space="preserve"> </w:t>
      </w:r>
      <w:r>
        <w:tab/>
        <w:t xml:space="preserve">Directive </w:t>
      </w:r>
      <w:hyperlink r:id="rId107" w:history="1">
        <w:r>
          <w:rPr>
            <w:rStyle w:val="Hyperlink"/>
          </w:rPr>
          <w:t>2005/36/EC</w:t>
        </w:r>
      </w:hyperlink>
      <w:r>
        <w:t>.</w:t>
      </w:r>
    </w:p>
  </w:footnote>
  <w:footnote w:id="78">
    <w:p w:rsidR="00E26342" w:rsidRDefault="00040788">
      <w:pPr>
        <w:pStyle w:val="FootnoteText"/>
        <w:rPr>
          <w:szCs w:val="18"/>
        </w:rPr>
      </w:pPr>
      <w:r>
        <w:rPr>
          <w:rStyle w:val="FootnoteReference"/>
          <w:szCs w:val="18"/>
        </w:rPr>
        <w:footnoteRef/>
      </w:r>
      <w:r>
        <w:rPr>
          <w:szCs w:val="18"/>
        </w:rPr>
        <w:t xml:space="preserve"> </w:t>
      </w:r>
      <w:r>
        <w:rPr>
          <w:szCs w:val="18"/>
        </w:rPr>
        <w:tab/>
        <w:t xml:space="preserve">Directives </w:t>
      </w:r>
      <w:hyperlink r:id="rId108" w:history="1">
        <w:r>
          <w:rPr>
            <w:rStyle w:val="Hyperlink"/>
            <w:szCs w:val="18"/>
          </w:rPr>
          <w:t>2013/50/EU</w:t>
        </w:r>
      </w:hyperlink>
      <w:r>
        <w:rPr>
          <w:szCs w:val="18"/>
        </w:rPr>
        <w:t xml:space="preserve"> and </w:t>
      </w:r>
      <w:hyperlink r:id="rId109" w:history="1">
        <w:r>
          <w:rPr>
            <w:rStyle w:val="Hyperlink"/>
            <w:szCs w:val="18"/>
          </w:rPr>
          <w:t>2013/36/EU</w:t>
        </w:r>
      </w:hyperlink>
      <w:r>
        <w:rPr>
          <w:szCs w:val="18"/>
        </w:rPr>
        <w:t>.</w:t>
      </w:r>
    </w:p>
  </w:footnote>
  <w:footnote w:id="79">
    <w:p w:rsidR="00E26342" w:rsidRDefault="00040788">
      <w:pPr>
        <w:pStyle w:val="FootnoteText"/>
        <w:rPr>
          <w:szCs w:val="18"/>
        </w:rPr>
      </w:pPr>
      <w:r>
        <w:rPr>
          <w:rStyle w:val="FootnoteReference"/>
          <w:szCs w:val="18"/>
        </w:rPr>
        <w:footnoteRef/>
      </w:r>
      <w:r>
        <w:rPr>
          <w:szCs w:val="18"/>
        </w:rPr>
        <w:t xml:space="preserve"> </w:t>
      </w:r>
      <w:r>
        <w:rPr>
          <w:szCs w:val="18"/>
        </w:rPr>
        <w:tab/>
        <w:t xml:space="preserve">Directive </w:t>
      </w:r>
      <w:hyperlink r:id="rId110" w:history="1">
        <w:r>
          <w:rPr>
            <w:rStyle w:val="Hyperlink"/>
            <w:szCs w:val="18"/>
          </w:rPr>
          <w:t>2012/34/EU</w:t>
        </w:r>
      </w:hyperlink>
      <w:r>
        <w:rPr>
          <w:szCs w:val="18"/>
        </w:rPr>
        <w:t>.</w:t>
      </w:r>
    </w:p>
  </w:footnote>
  <w:footnote w:id="80">
    <w:p w:rsidR="00E26342" w:rsidRDefault="00040788">
      <w:pPr>
        <w:pStyle w:val="FootnoteText"/>
        <w:rPr>
          <w:szCs w:val="18"/>
        </w:rPr>
      </w:pPr>
      <w:r>
        <w:rPr>
          <w:rStyle w:val="FootnoteReference"/>
          <w:szCs w:val="18"/>
        </w:rPr>
        <w:footnoteRef/>
      </w:r>
      <w:r>
        <w:rPr>
          <w:szCs w:val="18"/>
        </w:rPr>
        <w:t xml:space="preserve"> </w:t>
      </w:r>
      <w:r>
        <w:rPr>
          <w:szCs w:val="18"/>
        </w:rPr>
        <w:tab/>
      </w:r>
      <w:r>
        <w:t xml:space="preserve">Directive </w:t>
      </w:r>
      <w:hyperlink r:id="rId111" w:history="1">
        <w:r>
          <w:rPr>
            <w:rStyle w:val="Hyperlink"/>
          </w:rPr>
          <w:t>2013/34/EU</w:t>
        </w:r>
      </w:hyperlink>
      <w:r>
        <w:t>.</w:t>
      </w:r>
    </w:p>
  </w:footnote>
  <w:footnote w:id="81">
    <w:p w:rsidR="00E26342" w:rsidRDefault="00040788">
      <w:pPr>
        <w:pStyle w:val="FootnoteText"/>
        <w:rPr>
          <w:szCs w:val="18"/>
        </w:rPr>
      </w:pPr>
      <w:r>
        <w:rPr>
          <w:rStyle w:val="FootnoteReference"/>
          <w:szCs w:val="18"/>
        </w:rPr>
        <w:footnoteRef/>
      </w:r>
      <w:r>
        <w:rPr>
          <w:szCs w:val="18"/>
        </w:rPr>
        <w:t xml:space="preserve"> </w:t>
      </w:r>
      <w:r>
        <w:rPr>
          <w:szCs w:val="18"/>
        </w:rPr>
        <w:tab/>
        <w:t xml:space="preserve">Directive </w:t>
      </w:r>
      <w:hyperlink r:id="rId112" w:history="1">
        <w:r>
          <w:rPr>
            <w:rStyle w:val="Hyperlink"/>
            <w:szCs w:val="18"/>
          </w:rPr>
          <w:t>2014/95/EU</w:t>
        </w:r>
      </w:hyperlink>
      <w:r>
        <w:rPr>
          <w:szCs w:val="18"/>
        </w:rPr>
        <w:t>.</w:t>
      </w:r>
    </w:p>
  </w:footnote>
  <w:footnote w:id="82">
    <w:p w:rsidR="00E26342" w:rsidRDefault="00040788">
      <w:pPr>
        <w:pStyle w:val="FootnoteText"/>
        <w:rPr>
          <w:szCs w:val="18"/>
        </w:rPr>
      </w:pPr>
      <w:r>
        <w:rPr>
          <w:rStyle w:val="FootnoteReference"/>
          <w:szCs w:val="18"/>
        </w:rPr>
        <w:footnoteRef/>
      </w:r>
      <w:r>
        <w:rPr>
          <w:szCs w:val="18"/>
        </w:rPr>
        <w:t xml:space="preserve"> </w:t>
      </w:r>
      <w:r>
        <w:rPr>
          <w:szCs w:val="18"/>
        </w:rPr>
        <w:tab/>
        <w:t xml:space="preserve">Directive </w:t>
      </w:r>
      <w:hyperlink r:id="rId113" w:history="1">
        <w:r>
          <w:rPr>
            <w:rStyle w:val="Hyperlink"/>
            <w:szCs w:val="18"/>
          </w:rPr>
          <w:t>2008/57/EC</w:t>
        </w:r>
      </w:hyperlink>
      <w:r>
        <w:rPr>
          <w:szCs w:val="18"/>
        </w:rPr>
        <w:t>.</w:t>
      </w:r>
    </w:p>
  </w:footnote>
  <w:footnote w:id="83">
    <w:p w:rsidR="00E26342" w:rsidRDefault="00040788">
      <w:pPr>
        <w:pStyle w:val="FootnoteText"/>
        <w:rPr>
          <w:szCs w:val="18"/>
        </w:rPr>
      </w:pPr>
      <w:r>
        <w:rPr>
          <w:rStyle w:val="FootnoteReference"/>
          <w:szCs w:val="18"/>
        </w:rPr>
        <w:footnoteRef/>
      </w:r>
      <w:r>
        <w:rPr>
          <w:szCs w:val="18"/>
        </w:rPr>
        <w:t xml:space="preserve"> </w:t>
      </w:r>
      <w:r>
        <w:rPr>
          <w:szCs w:val="18"/>
        </w:rPr>
        <w:tab/>
      </w:r>
      <w:hyperlink r:id="rId114" w:history="1">
        <w:r>
          <w:rPr>
            <w:rStyle w:val="Hyperlink"/>
            <w:szCs w:val="18"/>
          </w:rPr>
          <w:t>IP/17/5109</w:t>
        </w:r>
      </w:hyperlink>
      <w:r>
        <w:rPr>
          <w:szCs w:val="18"/>
        </w:rPr>
        <w:t>.</w:t>
      </w:r>
    </w:p>
  </w:footnote>
  <w:footnote w:id="84">
    <w:p w:rsidR="00E26342" w:rsidRDefault="00040788">
      <w:pPr>
        <w:pStyle w:val="FootnoteText"/>
        <w:rPr>
          <w:szCs w:val="18"/>
        </w:rPr>
      </w:pPr>
      <w:r>
        <w:rPr>
          <w:rStyle w:val="FootnoteReference"/>
          <w:szCs w:val="18"/>
        </w:rPr>
        <w:footnoteRef/>
      </w:r>
      <w:r>
        <w:rPr>
          <w:szCs w:val="18"/>
        </w:rPr>
        <w:t xml:space="preserve"> </w:t>
      </w:r>
      <w:r>
        <w:rPr>
          <w:szCs w:val="18"/>
        </w:rPr>
        <w:tab/>
        <w:t xml:space="preserve">Directive </w:t>
      </w:r>
      <w:hyperlink r:id="rId115" w:history="1">
        <w:r>
          <w:rPr>
            <w:rStyle w:val="Hyperlink"/>
            <w:szCs w:val="18"/>
          </w:rPr>
          <w:t>2004/49/EC</w:t>
        </w:r>
      </w:hyperlink>
      <w:r>
        <w:rPr>
          <w:szCs w:val="18"/>
        </w:rPr>
        <w:t>.</w:t>
      </w:r>
    </w:p>
  </w:footnote>
  <w:footnote w:id="85">
    <w:p w:rsidR="00E26342" w:rsidRDefault="00040788">
      <w:pPr>
        <w:pStyle w:val="FootnoteText"/>
        <w:rPr>
          <w:szCs w:val="18"/>
        </w:rPr>
      </w:pPr>
      <w:r>
        <w:rPr>
          <w:rStyle w:val="FootnoteReference"/>
          <w:szCs w:val="18"/>
        </w:rPr>
        <w:footnoteRef/>
      </w:r>
      <w:r>
        <w:rPr>
          <w:szCs w:val="18"/>
        </w:rPr>
        <w:t xml:space="preserve"> </w:t>
      </w:r>
      <w:r>
        <w:rPr>
          <w:szCs w:val="18"/>
        </w:rPr>
        <w:tab/>
        <w:t>These rulings are almost exclusively handed down in infri</w:t>
      </w:r>
      <w:r>
        <w:rPr>
          <w:szCs w:val="18"/>
        </w:rPr>
        <w:t>ngement procedures.</w:t>
      </w:r>
    </w:p>
  </w:footnote>
  <w:footnote w:id="86">
    <w:p w:rsidR="00E26342" w:rsidRDefault="00040788">
      <w:pPr>
        <w:pStyle w:val="FootnoteText"/>
        <w:rPr>
          <w:szCs w:val="18"/>
        </w:rPr>
      </w:pPr>
      <w:r>
        <w:rPr>
          <w:rStyle w:val="FootnoteReference"/>
          <w:szCs w:val="18"/>
        </w:rPr>
        <w:footnoteRef/>
      </w:r>
      <w:r>
        <w:rPr>
          <w:szCs w:val="18"/>
        </w:rPr>
        <w:t xml:space="preserve"> </w:t>
      </w:r>
      <w:r>
        <w:rPr>
          <w:szCs w:val="18"/>
        </w:rPr>
        <w:tab/>
        <w:t xml:space="preserve">Regulation (EC) No </w:t>
      </w:r>
      <w:hyperlink r:id="rId116" w:history="1">
        <w:r>
          <w:rPr>
            <w:rStyle w:val="Hyperlink"/>
            <w:szCs w:val="18"/>
          </w:rPr>
          <w:t>1082/2006</w:t>
        </w:r>
      </w:hyperlink>
      <w:r>
        <w:rPr>
          <w:szCs w:val="18"/>
        </w:rPr>
        <w:t xml:space="preserve">, Netherlands v Commission, </w:t>
      </w:r>
      <w:hyperlink r:id="rId117" w:history="1">
        <w:r>
          <w:rPr>
            <w:rStyle w:val="Hyperlink"/>
            <w:szCs w:val="18"/>
          </w:rPr>
          <w:t>T-119/10</w:t>
        </w:r>
      </w:hyperlink>
      <w:r>
        <w:rPr>
          <w:szCs w:val="18"/>
        </w:rPr>
        <w:t>.</w:t>
      </w:r>
    </w:p>
  </w:footnote>
  <w:footnote w:id="87">
    <w:p w:rsidR="00E26342" w:rsidRDefault="00040788">
      <w:pPr>
        <w:pStyle w:val="FootnoteText"/>
        <w:rPr>
          <w:szCs w:val="18"/>
        </w:rPr>
      </w:pPr>
      <w:r>
        <w:rPr>
          <w:rStyle w:val="FootnoteReference"/>
          <w:szCs w:val="18"/>
        </w:rPr>
        <w:footnoteRef/>
      </w:r>
      <w:r>
        <w:rPr>
          <w:szCs w:val="18"/>
        </w:rPr>
        <w:t xml:space="preserve"> </w:t>
      </w:r>
      <w:r>
        <w:rPr>
          <w:szCs w:val="18"/>
        </w:rPr>
        <w:tab/>
        <w:t xml:space="preserve">Chavez-Vilchez, </w:t>
      </w:r>
      <w:hyperlink r:id="rId118" w:history="1">
        <w:r>
          <w:rPr>
            <w:rStyle w:val="Hyperlink"/>
            <w:szCs w:val="18"/>
          </w:rPr>
          <w:t>C-133/15</w:t>
        </w:r>
      </w:hyperlink>
      <w:r>
        <w:rPr>
          <w:szCs w:val="18"/>
        </w:rPr>
        <w:t xml:space="preserve"> and Court press release </w:t>
      </w:r>
      <w:hyperlink r:id="rId119" w:history="1">
        <w:r>
          <w:rPr>
            <w:rStyle w:val="Hyperlink"/>
            <w:szCs w:val="18"/>
          </w:rPr>
          <w:t>No 48/17</w:t>
        </w:r>
      </w:hyperlink>
      <w:r>
        <w:rPr>
          <w:szCs w:val="18"/>
        </w:rPr>
        <w:t>.</w:t>
      </w:r>
    </w:p>
  </w:footnote>
  <w:footnote w:id="88">
    <w:p w:rsidR="00E26342" w:rsidRDefault="00040788">
      <w:pPr>
        <w:pStyle w:val="FootnoteText"/>
      </w:pPr>
      <w:r>
        <w:rPr>
          <w:rStyle w:val="FootnoteReference"/>
        </w:rPr>
        <w:footnoteRef/>
      </w:r>
      <w:r>
        <w:t xml:space="preserve"> </w:t>
      </w:r>
      <w:r>
        <w:tab/>
        <w:t xml:space="preserve">Stichting Brein v Ziggo BV and XS4All Internet BV, </w:t>
      </w:r>
      <w:hyperlink r:id="rId120" w:history="1">
        <w:r>
          <w:rPr>
            <w:rStyle w:val="Hyperlink"/>
          </w:rPr>
          <w:t>C-610/15</w:t>
        </w:r>
      </w:hyperlink>
      <w:r>
        <w:t>.</w:t>
      </w:r>
    </w:p>
  </w:footnote>
  <w:footnote w:id="89">
    <w:p w:rsidR="00E26342" w:rsidRDefault="00040788">
      <w:pPr>
        <w:pStyle w:val="FootnoteText"/>
      </w:pPr>
      <w:r>
        <w:rPr>
          <w:rStyle w:val="FootnoteReference"/>
        </w:rPr>
        <w:footnoteRef/>
      </w:r>
      <w:r>
        <w:t xml:space="preserve"> </w:t>
      </w:r>
      <w:r>
        <w:tab/>
        <w:t xml:space="preserve">Bas Jacob Adriaan Krijgsman </w:t>
      </w:r>
      <w:hyperlink r:id="rId121" w:history="1">
        <w:r>
          <w:rPr>
            <w:rStyle w:val="Hyperlink"/>
          </w:rPr>
          <w:t>C-302/16</w:t>
        </w:r>
      </w:hyperlink>
      <w:r>
        <w:t>.</w:t>
      </w:r>
    </w:p>
  </w:footnote>
  <w:footnote w:id="90">
    <w:p w:rsidR="00E26342" w:rsidRDefault="00040788">
      <w:pPr>
        <w:pStyle w:val="FootnoteText"/>
      </w:pPr>
      <w:r>
        <w:rPr>
          <w:rStyle w:val="FootnoteReference"/>
        </w:rPr>
        <w:footnoteRef/>
      </w:r>
      <w:r>
        <w:t xml:space="preserve"> </w:t>
      </w:r>
      <w:r>
        <w:tab/>
        <w:t xml:space="preserve">A, B, C, D, </w:t>
      </w:r>
      <w:hyperlink r:id="rId122" w:history="1">
        <w:r>
          <w:rPr>
            <w:rStyle w:val="Hyperlink"/>
          </w:rPr>
          <w:t>C-158/14</w:t>
        </w:r>
      </w:hyperlink>
      <w:r>
        <w:t>.</w:t>
      </w:r>
    </w:p>
  </w:footnote>
  <w:footnote w:id="91">
    <w:p w:rsidR="00E26342" w:rsidRDefault="00040788">
      <w:pPr>
        <w:pStyle w:val="FootnoteText"/>
      </w:pPr>
      <w:r>
        <w:rPr>
          <w:rStyle w:val="FootnoteReference"/>
        </w:rPr>
        <w:footnoteRef/>
      </w:r>
      <w:r>
        <w:t xml:space="preserve"> </w:t>
      </w:r>
      <w:r>
        <w:tab/>
        <w:t xml:space="preserve">Mossa Ouhrami, </w:t>
      </w:r>
      <w:hyperlink r:id="rId123" w:history="1">
        <w:r>
          <w:rPr>
            <w:rStyle w:val="Hyperlink"/>
          </w:rPr>
          <w:t>C-225/16</w:t>
        </w:r>
      </w:hyperlink>
      <w:r>
        <w:t>.</w:t>
      </w:r>
    </w:p>
  </w:footnote>
  <w:footnote w:id="92">
    <w:p w:rsidR="00E26342" w:rsidRDefault="00040788">
      <w:pPr>
        <w:pStyle w:val="FootnoteText"/>
      </w:pPr>
      <w:r>
        <w:rPr>
          <w:rStyle w:val="FootnoteReference"/>
        </w:rPr>
        <w:footnoteRef/>
      </w:r>
      <w:r>
        <w:t xml:space="preserve"> </w:t>
      </w:r>
      <w:r>
        <w:tab/>
        <w:t xml:space="preserve">The Shirtmakers BV, </w:t>
      </w:r>
      <w:hyperlink r:id="rId124" w:history="1">
        <w:r>
          <w:rPr>
            <w:rStyle w:val="Hyperlink"/>
          </w:rPr>
          <w:t>C-59/16</w:t>
        </w:r>
      </w:hyperlink>
      <w:r>
        <w:t>.</w:t>
      </w:r>
    </w:p>
  </w:footnote>
  <w:footnote w:id="93">
    <w:p w:rsidR="00E26342" w:rsidRDefault="00040788">
      <w:pPr>
        <w:pStyle w:val="FootnoteText"/>
      </w:pPr>
      <w:r>
        <w:rPr>
          <w:rStyle w:val="FootnoteReference"/>
        </w:rPr>
        <w:footnoteRef/>
      </w:r>
      <w:r>
        <w:t xml:space="preserve"> </w:t>
      </w:r>
      <w:r>
        <w:tab/>
        <w:t xml:space="preserve">GROFA GmbH and GoPro Coperatief, Joined Cases </w:t>
      </w:r>
      <w:hyperlink r:id="rId125" w:history="1">
        <w:r>
          <w:rPr>
            <w:rStyle w:val="Hyperlink"/>
          </w:rPr>
          <w:t>C-435/15</w:t>
        </w:r>
      </w:hyperlink>
      <w:r>
        <w:t xml:space="preserve"> and </w:t>
      </w:r>
      <w:hyperlink r:id="rId126" w:history="1">
        <w:r>
          <w:rPr>
            <w:rStyle w:val="Hyperlink"/>
          </w:rPr>
          <w:t>C-666/15</w:t>
        </w:r>
      </w:hyperlink>
      <w:r>
        <w:t>.</w:t>
      </w:r>
    </w:p>
  </w:footnote>
  <w:footnote w:id="94">
    <w:p w:rsidR="00E26342" w:rsidRDefault="00040788">
      <w:pPr>
        <w:pStyle w:val="FootnoteText"/>
      </w:pPr>
      <w:r>
        <w:rPr>
          <w:rStyle w:val="FootnoteReference"/>
        </w:rPr>
        <w:footnoteRef/>
      </w:r>
      <w:r>
        <w:t xml:space="preserve"> </w:t>
      </w:r>
      <w:r>
        <w:tab/>
        <w:t xml:space="preserve">Stryker EMEA Supply Chain BV, </w:t>
      </w:r>
      <w:hyperlink r:id="rId127" w:history="1">
        <w:r>
          <w:rPr>
            <w:rStyle w:val="Hyperlink"/>
          </w:rPr>
          <w:t>C-51/16</w:t>
        </w:r>
      </w:hyperlink>
      <w:r>
        <w:t>.</w:t>
      </w:r>
    </w:p>
  </w:footnote>
  <w:footnote w:id="95">
    <w:p w:rsidR="00E26342" w:rsidRDefault="00040788">
      <w:pPr>
        <w:pStyle w:val="FootnoteText"/>
        <w:rPr>
          <w:lang w:val="nl-NL"/>
        </w:rPr>
      </w:pPr>
      <w:r>
        <w:rPr>
          <w:rStyle w:val="FootnoteReference"/>
        </w:rPr>
        <w:footnoteRef/>
      </w:r>
      <w:r>
        <w:rPr>
          <w:lang w:val="nl-NL"/>
        </w:rPr>
        <w:t xml:space="preserve"> </w:t>
      </w:r>
      <w:r>
        <w:rPr>
          <w:lang w:val="nl-NL"/>
        </w:rPr>
        <w:tab/>
        <w:t xml:space="preserve">Directive </w:t>
      </w:r>
      <w:hyperlink r:id="rId128" w:history="1">
        <w:r>
          <w:rPr>
            <w:rStyle w:val="Hyperlink"/>
            <w:lang w:val="nl-NL"/>
          </w:rPr>
          <w:t>2001/23/EC</w:t>
        </w:r>
      </w:hyperlink>
      <w:r>
        <w:rPr>
          <w:lang w:val="nl-NL"/>
        </w:rPr>
        <w:t>.</w:t>
      </w:r>
    </w:p>
  </w:footnote>
  <w:footnote w:id="96">
    <w:p w:rsidR="00E26342" w:rsidRDefault="00040788">
      <w:pPr>
        <w:pStyle w:val="FootnoteText"/>
        <w:rPr>
          <w:lang w:val="nl-NL"/>
        </w:rPr>
      </w:pPr>
      <w:r>
        <w:rPr>
          <w:rStyle w:val="FootnoteReference"/>
        </w:rPr>
        <w:footnoteRef/>
      </w:r>
      <w:r>
        <w:rPr>
          <w:lang w:val="nl-NL"/>
        </w:rPr>
        <w:t xml:space="preserve"> </w:t>
      </w:r>
      <w:r>
        <w:rPr>
          <w:lang w:val="nl-NL"/>
        </w:rPr>
        <w:tab/>
        <w:t xml:space="preserve">Smallsteps, </w:t>
      </w:r>
      <w:hyperlink r:id="rId129" w:history="1">
        <w:r>
          <w:rPr>
            <w:rStyle w:val="Hyperlink"/>
            <w:lang w:val="nl-NL"/>
          </w:rPr>
          <w:t>C-126/16</w:t>
        </w:r>
      </w:hyperlink>
      <w:r>
        <w:rPr>
          <w:lang w:val="nl-NL"/>
        </w:rPr>
        <w:t>.</w:t>
      </w:r>
    </w:p>
  </w:footnote>
  <w:footnote w:id="97">
    <w:p w:rsidR="00E26342" w:rsidRDefault="00040788">
      <w:pPr>
        <w:pStyle w:val="FootnoteText"/>
        <w:rPr>
          <w:lang w:val="nl-NL"/>
        </w:rPr>
      </w:pPr>
      <w:r>
        <w:rPr>
          <w:rStyle w:val="FootnoteReference"/>
        </w:rPr>
        <w:footnoteRef/>
      </w:r>
      <w:r>
        <w:rPr>
          <w:lang w:val="nl-NL"/>
        </w:rPr>
        <w:t xml:space="preserve"> </w:t>
      </w:r>
      <w:r>
        <w:rPr>
          <w:lang w:val="nl-NL"/>
        </w:rPr>
        <w:tab/>
        <w:t xml:space="preserve">Decision (EU) </w:t>
      </w:r>
      <w:hyperlink r:id="rId130" w:history="1">
        <w:r>
          <w:rPr>
            <w:rStyle w:val="Hyperlink"/>
            <w:lang w:val="nl-NL"/>
          </w:rPr>
          <w:t>2015/72</w:t>
        </w:r>
      </w:hyperlink>
      <w:r>
        <w:rPr>
          <w:lang w:val="nl-NL"/>
        </w:rPr>
        <w:t xml:space="preserve">, Vereniging Hoekschewaards Landschap, </w:t>
      </w:r>
      <w:hyperlink r:id="rId131" w:history="1">
        <w:r>
          <w:rPr>
            <w:rStyle w:val="Hyperlink"/>
            <w:lang w:val="nl-NL"/>
          </w:rPr>
          <w:t>C-281/16</w:t>
        </w:r>
      </w:hyperlink>
      <w:r>
        <w:rPr>
          <w:lang w:val="nl-NL"/>
        </w:rPr>
        <w:t>.</w:t>
      </w:r>
    </w:p>
  </w:footnote>
  <w:footnote w:id="98">
    <w:p w:rsidR="00E26342" w:rsidRDefault="00040788">
      <w:pPr>
        <w:pStyle w:val="FootnoteText"/>
        <w:rPr>
          <w:lang w:val="nl-NL"/>
        </w:rPr>
      </w:pPr>
      <w:r>
        <w:rPr>
          <w:rStyle w:val="FootnoteReference"/>
        </w:rPr>
        <w:footnoteRef/>
      </w:r>
      <w:r>
        <w:rPr>
          <w:lang w:val="nl-NL"/>
        </w:rPr>
        <w:t xml:space="preserve"> </w:t>
      </w:r>
      <w:r>
        <w:rPr>
          <w:lang w:val="nl-NL"/>
        </w:rPr>
        <w:tab/>
        <w:t xml:space="preserve">Directive </w:t>
      </w:r>
      <w:hyperlink r:id="rId132" w:history="1">
        <w:r>
          <w:rPr>
            <w:rStyle w:val="Hyperlink"/>
            <w:lang w:val="nl-NL"/>
          </w:rPr>
          <w:t>2013/55/EU</w:t>
        </w:r>
      </w:hyperlink>
      <w:r>
        <w:rPr>
          <w:lang w:val="nl-NL"/>
        </w:rPr>
        <w:t>.</w:t>
      </w:r>
    </w:p>
  </w:footnote>
  <w:footnote w:id="99">
    <w:p w:rsidR="00E26342" w:rsidRDefault="00040788">
      <w:pPr>
        <w:pStyle w:val="FootnoteText"/>
        <w:rPr>
          <w:lang w:val="nl-NL"/>
        </w:rPr>
      </w:pPr>
      <w:r>
        <w:rPr>
          <w:rStyle w:val="FootnoteReference"/>
        </w:rPr>
        <w:footnoteRef/>
      </w:r>
      <w:r>
        <w:rPr>
          <w:lang w:val="nl-NL"/>
        </w:rPr>
        <w:t xml:space="preserve"> </w:t>
      </w:r>
      <w:r>
        <w:rPr>
          <w:lang w:val="nl-NL"/>
        </w:rPr>
        <w:tab/>
        <w:t xml:space="preserve">Directive </w:t>
      </w:r>
      <w:hyperlink r:id="rId133" w:history="1">
        <w:r>
          <w:rPr>
            <w:rStyle w:val="Hyperlink"/>
            <w:lang w:val="nl-NL"/>
          </w:rPr>
          <w:t>2015/652/EU</w:t>
        </w:r>
      </w:hyperlink>
      <w:r>
        <w:rPr>
          <w:lang w:val="nl-NL"/>
        </w:rPr>
        <w:t>.</w:t>
      </w:r>
    </w:p>
  </w:footnote>
  <w:footnote w:id="100">
    <w:p w:rsidR="00E26342" w:rsidRDefault="00040788">
      <w:pPr>
        <w:pStyle w:val="FootnoteText"/>
        <w:rPr>
          <w:lang w:val="nl-NL"/>
        </w:rPr>
      </w:pPr>
      <w:r>
        <w:rPr>
          <w:rStyle w:val="FootnoteReference"/>
        </w:rPr>
        <w:footnoteRef/>
      </w:r>
      <w:r>
        <w:rPr>
          <w:lang w:val="nl-NL"/>
        </w:rPr>
        <w:t xml:space="preserve"> </w:t>
      </w:r>
      <w:r>
        <w:rPr>
          <w:lang w:val="nl-NL"/>
        </w:rPr>
        <w:tab/>
        <w:t xml:space="preserve">Directive </w:t>
      </w:r>
      <w:hyperlink r:id="rId134" w:history="1">
        <w:r>
          <w:rPr>
            <w:rStyle w:val="Hyperlink"/>
            <w:lang w:val="nl-NL"/>
          </w:rPr>
          <w:t>98/70</w:t>
        </w:r>
      </w:hyperlink>
      <w:r>
        <w:rPr>
          <w:lang w:val="nl-NL"/>
        </w:rPr>
        <w:t>.</w:t>
      </w:r>
    </w:p>
  </w:footnote>
  <w:footnote w:id="101">
    <w:p w:rsidR="00E26342" w:rsidRDefault="00040788">
      <w:pPr>
        <w:pStyle w:val="FootnoteText"/>
        <w:rPr>
          <w:lang w:val="nl-NL"/>
        </w:rPr>
      </w:pPr>
      <w:r>
        <w:rPr>
          <w:rStyle w:val="FootnoteReference"/>
        </w:rPr>
        <w:footnoteRef/>
      </w:r>
      <w:r>
        <w:rPr>
          <w:lang w:val="nl-NL"/>
        </w:rPr>
        <w:t xml:space="preserve"> </w:t>
      </w:r>
      <w:r>
        <w:rPr>
          <w:lang w:val="nl-NL"/>
        </w:rPr>
        <w:tab/>
        <w:t xml:space="preserve">Directive </w:t>
      </w:r>
      <w:hyperlink r:id="rId135" w:history="1">
        <w:r>
          <w:rPr>
            <w:rStyle w:val="Hyperlink"/>
            <w:lang w:val="nl-NL"/>
          </w:rPr>
          <w:t>2012/18/EU</w:t>
        </w:r>
      </w:hyperlink>
      <w:r>
        <w:rPr>
          <w:lang w:val="nl-NL"/>
        </w:rPr>
        <w:t>.</w:t>
      </w:r>
    </w:p>
  </w:footnote>
  <w:footnote w:id="102">
    <w:p w:rsidR="00E26342" w:rsidRDefault="00040788">
      <w:pPr>
        <w:pStyle w:val="FootnoteText"/>
        <w:rPr>
          <w:lang w:val="nl-NL"/>
        </w:rPr>
      </w:pPr>
      <w:r>
        <w:rPr>
          <w:rStyle w:val="FootnoteReference"/>
        </w:rPr>
        <w:footnoteRef/>
      </w:r>
      <w:r>
        <w:rPr>
          <w:lang w:val="nl-NL"/>
        </w:rPr>
        <w:t xml:space="preserve"> </w:t>
      </w:r>
      <w:r>
        <w:rPr>
          <w:lang w:val="nl-NL"/>
        </w:rPr>
        <w:tab/>
        <w:t xml:space="preserve">Directive </w:t>
      </w:r>
      <w:hyperlink r:id="rId136" w:history="1">
        <w:r>
          <w:rPr>
            <w:rStyle w:val="Hyperlink"/>
            <w:lang w:val="nl-NL"/>
          </w:rPr>
          <w:t>2014/87/Euratom</w:t>
        </w:r>
      </w:hyperlink>
      <w:r>
        <w:rPr>
          <w:lang w:val="nl-NL"/>
        </w:rPr>
        <w:t>.</w:t>
      </w:r>
    </w:p>
  </w:footnote>
  <w:footnote w:id="103">
    <w:p w:rsidR="00E26342" w:rsidRDefault="00040788">
      <w:pPr>
        <w:pStyle w:val="FootnoteText"/>
        <w:rPr>
          <w:lang w:val="nl-NL"/>
        </w:rPr>
      </w:pPr>
      <w:r>
        <w:rPr>
          <w:rStyle w:val="FootnoteReference"/>
        </w:rPr>
        <w:footnoteRef/>
      </w:r>
      <w:r>
        <w:rPr>
          <w:lang w:val="nl-NL"/>
        </w:rPr>
        <w:t xml:space="preserve"> </w:t>
      </w:r>
      <w:r>
        <w:rPr>
          <w:lang w:val="nl-NL"/>
        </w:rPr>
        <w:tab/>
        <w:t>Directiv</w:t>
      </w:r>
      <w:r>
        <w:rPr>
          <w:lang w:val="nl-NL"/>
        </w:rPr>
        <w:t xml:space="preserve">e </w:t>
      </w:r>
      <w:hyperlink r:id="rId137" w:history="1">
        <w:r>
          <w:rPr>
            <w:rStyle w:val="Hyperlink"/>
            <w:lang w:val="nl-NL"/>
          </w:rPr>
          <w:t>2011/70/Euratom</w:t>
        </w:r>
      </w:hyperlink>
      <w:r>
        <w:rPr>
          <w:lang w:val="nl-NL"/>
        </w:rPr>
        <w:t xml:space="preserve">, </w:t>
      </w:r>
      <w:hyperlink r:id="rId138" w:history="1">
        <w:r>
          <w:rPr>
            <w:rStyle w:val="Hyperlink"/>
            <w:lang w:val="nl-NL"/>
          </w:rPr>
          <w:t>MEMO/17/1935</w:t>
        </w:r>
      </w:hyperlink>
      <w:r>
        <w:rPr>
          <w:lang w:val="nl-NL"/>
        </w:rPr>
        <w:t>.</w:t>
      </w:r>
    </w:p>
  </w:footnote>
  <w:footnote w:id="104">
    <w:p w:rsidR="00E26342" w:rsidRDefault="00040788">
      <w:pPr>
        <w:pStyle w:val="FootnoteText"/>
        <w:rPr>
          <w:lang w:val="nl-NL"/>
        </w:rPr>
      </w:pPr>
      <w:r>
        <w:rPr>
          <w:rStyle w:val="FootnoteReference"/>
        </w:rPr>
        <w:footnoteRef/>
      </w:r>
      <w:r>
        <w:rPr>
          <w:lang w:val="nl-NL"/>
        </w:rPr>
        <w:t xml:space="preserve"> </w:t>
      </w:r>
      <w:r>
        <w:rPr>
          <w:lang w:val="nl-NL"/>
        </w:rPr>
        <w:tab/>
      </w:r>
      <w:hyperlink r:id="rId139" w:history="1">
        <w:r>
          <w:rPr>
            <w:rStyle w:val="Hyperlink"/>
            <w:lang w:val="nl-NL"/>
          </w:rPr>
          <w:t>MEMO/17/1577</w:t>
        </w:r>
      </w:hyperlink>
      <w:r>
        <w:rPr>
          <w:lang w:val="nl-NL"/>
        </w:rPr>
        <w:t>.</w:t>
      </w:r>
    </w:p>
  </w:footnote>
  <w:footnote w:id="105">
    <w:p w:rsidR="00E26342" w:rsidRDefault="00040788">
      <w:pPr>
        <w:pStyle w:val="FootnoteText"/>
        <w:rPr>
          <w:lang w:val="nl-NL"/>
        </w:rPr>
      </w:pPr>
      <w:r>
        <w:rPr>
          <w:rStyle w:val="FootnoteReference"/>
        </w:rPr>
        <w:footnoteRef/>
      </w:r>
      <w:r>
        <w:rPr>
          <w:lang w:val="nl-NL"/>
        </w:rPr>
        <w:t xml:space="preserve"> </w:t>
      </w:r>
      <w:r>
        <w:rPr>
          <w:lang w:val="nl-NL"/>
        </w:rPr>
        <w:tab/>
        <w:t xml:space="preserve">Directive </w:t>
      </w:r>
      <w:hyperlink r:id="rId140" w:history="1">
        <w:r>
          <w:rPr>
            <w:rStyle w:val="Hyperlink"/>
            <w:lang w:val="nl-NL"/>
          </w:rPr>
          <w:t>2000/60/EC</w:t>
        </w:r>
      </w:hyperlink>
      <w:r>
        <w:rPr>
          <w:lang w:val="nl-NL"/>
        </w:rPr>
        <w:t>.</w:t>
      </w:r>
    </w:p>
  </w:footnote>
  <w:footnote w:id="106">
    <w:p w:rsidR="00E26342" w:rsidRDefault="00040788">
      <w:pPr>
        <w:pStyle w:val="FootnoteText"/>
        <w:rPr>
          <w:lang w:val="nl-NL"/>
        </w:rPr>
      </w:pPr>
      <w:r>
        <w:rPr>
          <w:rStyle w:val="FootnoteReference"/>
        </w:rPr>
        <w:footnoteRef/>
      </w:r>
      <w:r>
        <w:rPr>
          <w:lang w:val="nl-NL"/>
        </w:rPr>
        <w:t xml:space="preserve"> </w:t>
      </w:r>
      <w:r>
        <w:rPr>
          <w:lang w:val="nl-NL"/>
        </w:rPr>
        <w:tab/>
        <w:t xml:space="preserve">Directive </w:t>
      </w:r>
      <w:hyperlink r:id="rId141" w:history="1">
        <w:r>
          <w:rPr>
            <w:rStyle w:val="Hyperlink"/>
            <w:lang w:val="nl-NL"/>
          </w:rPr>
          <w:t>96/71/EC</w:t>
        </w:r>
      </w:hyperlink>
      <w:r>
        <w:rPr>
          <w:lang w:val="nl-NL"/>
        </w:rPr>
        <w:t xml:space="preserve">, </w:t>
      </w:r>
      <w:hyperlink r:id="rId142" w:history="1">
        <w:r>
          <w:rPr>
            <w:rStyle w:val="Hyperlink"/>
            <w:lang w:val="nl-NL"/>
          </w:rPr>
          <w:t>IP/17/1053</w:t>
        </w:r>
      </w:hyperlink>
      <w:r>
        <w:rPr>
          <w:lang w:val="nl-NL"/>
        </w:rPr>
        <w:t>.</w:t>
      </w:r>
    </w:p>
  </w:footnote>
  <w:footnote w:id="107">
    <w:p w:rsidR="00E26342" w:rsidRDefault="00040788">
      <w:pPr>
        <w:pStyle w:val="FootnoteText"/>
        <w:rPr>
          <w:lang w:val="nl-NL"/>
        </w:rPr>
      </w:pPr>
      <w:r>
        <w:rPr>
          <w:rStyle w:val="FootnoteReference"/>
        </w:rPr>
        <w:footnoteRef/>
      </w:r>
      <w:r>
        <w:rPr>
          <w:lang w:val="nl-NL"/>
        </w:rPr>
        <w:t xml:space="preserve"> </w:t>
      </w:r>
      <w:r>
        <w:rPr>
          <w:lang w:val="nl-NL"/>
        </w:rPr>
        <w:tab/>
        <w:t xml:space="preserve">Directive </w:t>
      </w:r>
      <w:hyperlink r:id="rId143" w:history="1">
        <w:r>
          <w:rPr>
            <w:rStyle w:val="Hyperlink"/>
            <w:lang w:val="nl-NL"/>
          </w:rPr>
          <w:t>2005/36/EC</w:t>
        </w:r>
      </w:hyperlink>
      <w:r>
        <w:rPr>
          <w:lang w:val="nl-NL"/>
        </w:rPr>
        <w:t>.</w:t>
      </w:r>
    </w:p>
  </w:footnote>
  <w:footnote w:id="108">
    <w:p w:rsidR="00E26342" w:rsidRDefault="00040788">
      <w:pPr>
        <w:pStyle w:val="FootnoteText"/>
        <w:rPr>
          <w:lang w:val="nl-NL"/>
        </w:rPr>
      </w:pPr>
      <w:r>
        <w:rPr>
          <w:rStyle w:val="FootnoteReference"/>
        </w:rPr>
        <w:footnoteRef/>
      </w:r>
      <w:r>
        <w:rPr>
          <w:lang w:val="nl-NL"/>
        </w:rPr>
        <w:t xml:space="preserve"> </w:t>
      </w:r>
      <w:r>
        <w:rPr>
          <w:lang w:val="nl-NL"/>
        </w:rPr>
        <w:tab/>
        <w:t>Dir</w:t>
      </w:r>
      <w:r>
        <w:rPr>
          <w:lang w:val="nl-NL"/>
        </w:rPr>
        <w:t xml:space="preserve">ective </w:t>
      </w:r>
      <w:hyperlink r:id="rId144" w:history="1">
        <w:r>
          <w:rPr>
            <w:rStyle w:val="Hyperlink"/>
            <w:lang w:val="nl-NL"/>
          </w:rPr>
          <w:t>2009/138/EC</w:t>
        </w:r>
      </w:hyperlink>
      <w:r>
        <w:rPr>
          <w:lang w:val="nl-NL"/>
        </w:rPr>
        <w:t>.</w:t>
      </w:r>
    </w:p>
  </w:footnote>
  <w:footnote w:id="109">
    <w:p w:rsidR="00E26342" w:rsidRDefault="00040788">
      <w:pPr>
        <w:pStyle w:val="FootnoteText"/>
        <w:rPr>
          <w:lang w:val="nl-NL"/>
        </w:rPr>
      </w:pPr>
      <w:r>
        <w:rPr>
          <w:rStyle w:val="FootnoteReference"/>
        </w:rPr>
        <w:footnoteRef/>
      </w:r>
      <w:r>
        <w:rPr>
          <w:lang w:val="nl-NL"/>
        </w:rPr>
        <w:t xml:space="preserve"> </w:t>
      </w:r>
      <w:r>
        <w:rPr>
          <w:lang w:val="nl-NL"/>
        </w:rPr>
        <w:tab/>
        <w:t xml:space="preserve">Directive </w:t>
      </w:r>
      <w:hyperlink r:id="rId145" w:history="1">
        <w:r>
          <w:rPr>
            <w:rStyle w:val="Hyperlink"/>
            <w:lang w:val="nl-NL"/>
          </w:rPr>
          <w:t>2014/51/EU</w:t>
        </w:r>
      </w:hyperlink>
      <w:r>
        <w:rPr>
          <w:lang w:val="nl-NL"/>
        </w:rPr>
        <w:t>.</w:t>
      </w:r>
    </w:p>
  </w:footnote>
  <w:footnote w:id="110">
    <w:p w:rsidR="00E26342" w:rsidRDefault="00040788">
      <w:pPr>
        <w:pStyle w:val="FootnoteText"/>
        <w:rPr>
          <w:lang w:val="nl-NL"/>
        </w:rPr>
      </w:pPr>
      <w:r>
        <w:rPr>
          <w:rStyle w:val="FootnoteReference"/>
        </w:rPr>
        <w:footnoteRef/>
      </w:r>
      <w:r>
        <w:rPr>
          <w:lang w:val="nl-NL"/>
        </w:rPr>
        <w:t xml:space="preserve"> </w:t>
      </w:r>
      <w:r>
        <w:rPr>
          <w:lang w:val="nl-NL"/>
        </w:rPr>
        <w:tab/>
        <w:t>Dire</w:t>
      </w:r>
      <w:r>
        <w:rPr>
          <w:lang w:val="nl-NL"/>
        </w:rPr>
        <w:t xml:space="preserve">ctive </w:t>
      </w:r>
      <w:hyperlink r:id="rId146" w:history="1">
        <w:r>
          <w:rPr>
            <w:rStyle w:val="Hyperlink"/>
            <w:lang w:val="nl-NL"/>
          </w:rPr>
          <w:t>2014/95/EU</w:t>
        </w:r>
      </w:hyperlink>
      <w:r>
        <w:rPr>
          <w:lang w:val="nl-NL"/>
        </w:rPr>
        <w:t>.</w:t>
      </w:r>
    </w:p>
  </w:footnote>
  <w:footnote w:id="111">
    <w:p w:rsidR="00E26342" w:rsidRDefault="00040788">
      <w:pPr>
        <w:pStyle w:val="FootnoteText"/>
        <w:rPr>
          <w:lang w:val="nl-NL"/>
        </w:rPr>
      </w:pPr>
      <w:r>
        <w:rPr>
          <w:rStyle w:val="FootnoteReference"/>
        </w:rPr>
        <w:footnoteRef/>
      </w:r>
      <w:r>
        <w:rPr>
          <w:lang w:val="nl-NL"/>
        </w:rPr>
        <w:t xml:space="preserve"> </w:t>
      </w:r>
      <w:r>
        <w:rPr>
          <w:lang w:val="nl-NL"/>
        </w:rPr>
        <w:tab/>
        <w:t xml:space="preserve">Directive </w:t>
      </w:r>
      <w:hyperlink r:id="rId147" w:history="1">
        <w:r>
          <w:rPr>
            <w:rStyle w:val="Hyperlink"/>
            <w:lang w:val="nl-NL"/>
          </w:rPr>
          <w:t>2015/2087/EU</w:t>
        </w:r>
      </w:hyperlink>
      <w:r>
        <w:rPr>
          <w:lang w:val="nl-NL"/>
        </w:rPr>
        <w:t xml:space="preserve"> amending Directive </w:t>
      </w:r>
      <w:hyperlink r:id="rId148" w:history="1">
        <w:r>
          <w:rPr>
            <w:rStyle w:val="Hyperlink"/>
            <w:lang w:val="nl-NL"/>
          </w:rPr>
          <w:t>2000/59/EC</w:t>
        </w:r>
      </w:hyperlink>
      <w:r>
        <w:rPr>
          <w:lang w:val="nl-NL"/>
        </w:rPr>
        <w:t>.</w:t>
      </w:r>
    </w:p>
  </w:footnote>
  <w:footnote w:id="112">
    <w:p w:rsidR="00E26342" w:rsidRDefault="00040788">
      <w:pPr>
        <w:pStyle w:val="FootnoteText"/>
        <w:rPr>
          <w:lang w:val="nl-NL"/>
        </w:rPr>
      </w:pPr>
      <w:r>
        <w:rPr>
          <w:rStyle w:val="FootnoteReference"/>
        </w:rPr>
        <w:footnoteRef/>
      </w:r>
      <w:r>
        <w:rPr>
          <w:lang w:val="nl-NL"/>
        </w:rPr>
        <w:t xml:space="preserve"> </w:t>
      </w:r>
      <w:r>
        <w:rPr>
          <w:lang w:val="nl-NL"/>
        </w:rPr>
        <w:tab/>
        <w:t xml:space="preserve">Directive </w:t>
      </w:r>
      <w:hyperlink r:id="rId149" w:history="1">
        <w:r>
          <w:rPr>
            <w:rStyle w:val="Hyperlink"/>
            <w:lang w:val="nl-NL"/>
          </w:rPr>
          <w:t>2012/34</w:t>
        </w:r>
        <w:r>
          <w:rPr>
            <w:rStyle w:val="Hyperlink"/>
            <w:lang w:val="nl-NL"/>
          </w:rPr>
          <w:t>/EU</w:t>
        </w:r>
      </w:hyperlink>
      <w:r>
        <w:rPr>
          <w:lang w:val="nl-NL"/>
        </w:rPr>
        <w:t>.</w:t>
      </w:r>
    </w:p>
  </w:footnote>
  <w:footnote w:id="113">
    <w:p w:rsidR="00E26342" w:rsidRDefault="00040788">
      <w:pPr>
        <w:pStyle w:val="FootnoteText"/>
        <w:rPr>
          <w:lang w:val="nl-NL"/>
        </w:rPr>
      </w:pPr>
      <w:r>
        <w:rPr>
          <w:rStyle w:val="FootnoteReference"/>
        </w:rPr>
        <w:footnoteRef/>
      </w:r>
      <w:r>
        <w:rPr>
          <w:lang w:val="nl-NL"/>
        </w:rPr>
        <w:t xml:space="preserve"> </w:t>
      </w:r>
      <w:r>
        <w:rPr>
          <w:lang w:val="nl-NL"/>
        </w:rPr>
        <w:tab/>
        <w:t xml:space="preserve">Majid Shiri, </w:t>
      </w:r>
      <w:hyperlink r:id="rId150" w:history="1">
        <w:r>
          <w:rPr>
            <w:rStyle w:val="Hyperlink"/>
            <w:lang w:val="nl-NL"/>
          </w:rPr>
          <w:t>C-201/16</w:t>
        </w:r>
      </w:hyperlink>
      <w:r>
        <w:rPr>
          <w:lang w:val="nl-NL"/>
        </w:rPr>
        <w:t>.</w:t>
      </w:r>
    </w:p>
  </w:footnote>
  <w:footnote w:id="114">
    <w:p w:rsidR="00E26342" w:rsidRDefault="00040788">
      <w:pPr>
        <w:pStyle w:val="FootnoteText"/>
        <w:rPr>
          <w:lang w:val="nl-NL"/>
        </w:rPr>
      </w:pPr>
      <w:r>
        <w:rPr>
          <w:rStyle w:val="FootnoteReference"/>
        </w:rPr>
        <w:footnoteRef/>
      </w:r>
      <w:r>
        <w:rPr>
          <w:lang w:val="nl-NL"/>
        </w:rPr>
        <w:t xml:space="preserve"> </w:t>
      </w:r>
      <w:r>
        <w:rPr>
          <w:lang w:val="nl-NL"/>
        </w:rPr>
        <w:tab/>
        <w:t xml:space="preserve">Protect Natur-, Arten- und Landschaftschutz Umweltorganisation, </w:t>
      </w:r>
      <w:hyperlink r:id="rId151" w:history="1">
        <w:r>
          <w:rPr>
            <w:rStyle w:val="Hyperlink"/>
            <w:lang w:val="nl-NL"/>
          </w:rPr>
          <w:t>C-664/15</w:t>
        </w:r>
      </w:hyperlink>
      <w:r>
        <w:rPr>
          <w:lang w:val="nl-NL"/>
        </w:rPr>
        <w:t>.</w:t>
      </w:r>
    </w:p>
  </w:footnote>
  <w:footnote w:id="115">
    <w:p w:rsidR="00E26342" w:rsidRDefault="00040788">
      <w:pPr>
        <w:pStyle w:val="FootnoteText"/>
      </w:pPr>
      <w:r>
        <w:rPr>
          <w:rStyle w:val="FootnoteReference"/>
        </w:rPr>
        <w:footnoteRef/>
      </w:r>
      <w:r>
        <w:t xml:space="preserve"> </w:t>
      </w:r>
      <w:r>
        <w:tab/>
        <w:t xml:space="preserve">Directive </w:t>
      </w:r>
      <w:hyperlink r:id="rId152" w:history="1">
        <w:r>
          <w:rPr>
            <w:rStyle w:val="Hyperlink"/>
          </w:rPr>
          <w:t>2004/35/EC</w:t>
        </w:r>
      </w:hyperlink>
      <w:r>
        <w:t xml:space="preserve">, Folk, </w:t>
      </w:r>
      <w:hyperlink r:id="rId153" w:history="1">
        <w:r>
          <w:rPr>
            <w:rStyle w:val="Hyperlink"/>
          </w:rPr>
          <w:t>C-529/15</w:t>
        </w:r>
      </w:hyperlink>
      <w:r>
        <w:t>.</w:t>
      </w:r>
    </w:p>
  </w:footnote>
  <w:footnote w:id="116">
    <w:p w:rsidR="00E26342" w:rsidRDefault="00040788">
      <w:pPr>
        <w:pStyle w:val="FootnoteText"/>
      </w:pPr>
      <w:r>
        <w:rPr>
          <w:rStyle w:val="FootnoteReference"/>
        </w:rPr>
        <w:footnoteRef/>
      </w:r>
      <w:r>
        <w:t xml:space="preserve"> </w:t>
      </w:r>
      <w:r>
        <w:tab/>
      </w:r>
      <w:hyperlink r:id="rId154" w:history="1">
        <w:r>
          <w:rPr>
            <w:rStyle w:val="Hyperlink"/>
          </w:rPr>
          <w:t>IP/17/2205</w:t>
        </w:r>
      </w:hyperlink>
      <w:hyperlink r:id="rId155" w:history="1">
        <w:r>
          <w:rPr>
            <w:rStyle w:val="Hyperlink"/>
          </w:rPr>
          <w:t>; IP/17/3186</w:t>
        </w:r>
      </w:hyperlink>
      <w:r>
        <w:t xml:space="preserve"> and </w:t>
      </w:r>
      <w:hyperlink r:id="rId156" w:history="1">
        <w:r>
          <w:rPr>
            <w:rStyle w:val="Hyperlink"/>
          </w:rPr>
          <w:t>IP/17/5367</w:t>
        </w:r>
      </w:hyperlink>
      <w:r>
        <w:t>.</w:t>
      </w:r>
    </w:p>
  </w:footnote>
  <w:footnote w:id="117">
    <w:p w:rsidR="00E26342" w:rsidRDefault="00040788">
      <w:pPr>
        <w:pStyle w:val="FootnoteText"/>
        <w:rPr>
          <w:lang w:val="pt-PT"/>
        </w:rPr>
      </w:pPr>
      <w:r>
        <w:rPr>
          <w:rStyle w:val="FootnoteReference"/>
        </w:rPr>
        <w:footnoteRef/>
      </w:r>
      <w:r>
        <w:rPr>
          <w:lang w:val="pt-PT"/>
        </w:rPr>
        <w:t xml:space="preserve"> </w:t>
      </w:r>
      <w:r>
        <w:rPr>
          <w:lang w:val="pt-PT"/>
        </w:rPr>
        <w:tab/>
        <w:t xml:space="preserve">Directive </w:t>
      </w:r>
      <w:hyperlink r:id="rId157" w:history="1">
        <w:r>
          <w:rPr>
            <w:rStyle w:val="Hyperlink"/>
            <w:lang w:val="pt-PT"/>
          </w:rPr>
          <w:t>2009/28/EC</w:t>
        </w:r>
      </w:hyperlink>
      <w:r>
        <w:rPr>
          <w:lang w:val="pt-PT"/>
        </w:rPr>
        <w:t xml:space="preserve">, </w:t>
      </w:r>
      <w:hyperlink r:id="rId158" w:history="1">
        <w:r>
          <w:rPr>
            <w:rStyle w:val="Hyperlink"/>
            <w:lang w:val="pt-PT"/>
          </w:rPr>
          <w:t>MEMO/17/1045</w:t>
        </w:r>
      </w:hyperlink>
      <w:r>
        <w:rPr>
          <w:lang w:val="pt-PT"/>
        </w:rPr>
        <w:t>.</w:t>
      </w:r>
    </w:p>
  </w:footnote>
  <w:footnote w:id="118">
    <w:p w:rsidR="00E26342" w:rsidRDefault="00040788">
      <w:pPr>
        <w:pStyle w:val="FootnoteText"/>
        <w:rPr>
          <w:lang w:val="pt-PT"/>
        </w:rPr>
      </w:pPr>
      <w:r>
        <w:rPr>
          <w:rStyle w:val="FootnoteReference"/>
        </w:rPr>
        <w:footnoteRef/>
      </w:r>
      <w:r>
        <w:rPr>
          <w:lang w:val="pt-PT"/>
        </w:rPr>
        <w:t xml:space="preserve"> </w:t>
      </w:r>
      <w:r>
        <w:rPr>
          <w:lang w:val="pt-PT"/>
        </w:rPr>
        <w:tab/>
        <w:t xml:space="preserve">Directive </w:t>
      </w:r>
      <w:hyperlink r:id="rId159" w:history="1">
        <w:r>
          <w:rPr>
            <w:rStyle w:val="Hyperlink"/>
            <w:lang w:val="pt-PT"/>
          </w:rPr>
          <w:t>2002/21/EC</w:t>
        </w:r>
      </w:hyperlink>
      <w:r>
        <w:rPr>
          <w:lang w:val="pt-PT"/>
        </w:rPr>
        <w:t xml:space="preserve">, </w:t>
      </w:r>
      <w:hyperlink r:id="rId160" w:history="1">
        <w:r>
          <w:rPr>
            <w:rStyle w:val="Hyperlink"/>
            <w:lang w:val="pt-PT"/>
          </w:rPr>
          <w:t>MEMO/17/3494</w:t>
        </w:r>
      </w:hyperlink>
      <w:r>
        <w:rPr>
          <w:lang w:val="pt-PT"/>
        </w:rPr>
        <w:t>.</w:t>
      </w:r>
    </w:p>
  </w:footnote>
  <w:footnote w:id="119">
    <w:p w:rsidR="00E26342" w:rsidRDefault="00040788">
      <w:pPr>
        <w:pStyle w:val="FootnoteText"/>
      </w:pPr>
      <w:r>
        <w:rPr>
          <w:rStyle w:val="FootnoteReference"/>
        </w:rPr>
        <w:footnoteRef/>
      </w:r>
      <w:r>
        <w:t xml:space="preserve"> </w:t>
      </w:r>
      <w:r>
        <w:tab/>
        <w:t xml:space="preserve">Council Decisions (EU) </w:t>
      </w:r>
      <w:hyperlink r:id="rId161" w:history="1">
        <w:r>
          <w:rPr>
            <w:rStyle w:val="Hyperlink"/>
          </w:rPr>
          <w:t>2015/1523</w:t>
        </w:r>
      </w:hyperlink>
      <w:r>
        <w:t xml:space="preserve"> and </w:t>
      </w:r>
      <w:hyperlink r:id="rId162" w:history="1">
        <w:r>
          <w:rPr>
            <w:rStyle w:val="Hyperlink"/>
          </w:rPr>
          <w:t>2015/1601</w:t>
        </w:r>
      </w:hyperlink>
      <w:r>
        <w:t xml:space="preserve">; </w:t>
      </w:r>
      <w:hyperlink r:id="rId163" w:history="1">
        <w:r>
          <w:rPr>
            <w:rStyle w:val="Hyperlink"/>
          </w:rPr>
          <w:t>IP/17/5002</w:t>
        </w:r>
      </w:hyperlink>
      <w:r>
        <w:t>.</w:t>
      </w:r>
    </w:p>
  </w:footnote>
  <w:footnote w:id="120">
    <w:p w:rsidR="00E26342" w:rsidRDefault="00040788">
      <w:pPr>
        <w:pStyle w:val="FootnoteText"/>
      </w:pPr>
      <w:r>
        <w:rPr>
          <w:rStyle w:val="FootnoteReference"/>
        </w:rPr>
        <w:footnoteRef/>
      </w:r>
      <w:r>
        <w:t xml:space="preserve"> </w:t>
      </w:r>
      <w:r>
        <w:tab/>
        <w:t xml:space="preserve">Directive </w:t>
      </w:r>
      <w:hyperlink r:id="rId164" w:history="1">
        <w:r>
          <w:rPr>
            <w:rStyle w:val="Hyperlink"/>
          </w:rPr>
          <w:t>2002/49/EC</w:t>
        </w:r>
      </w:hyperlink>
      <w:r>
        <w:t xml:space="preserve">; </w:t>
      </w:r>
      <w:hyperlink r:id="rId165" w:history="1">
        <w:r>
          <w:rPr>
            <w:rStyle w:val="Hyperlink"/>
          </w:rPr>
          <w:t>MEMO/17/12</w:t>
        </w:r>
        <w:r>
          <w:rPr>
            <w:rStyle w:val="Hyperlink"/>
          </w:rPr>
          <w:t>81</w:t>
        </w:r>
      </w:hyperlink>
      <w:r>
        <w:t>.</w:t>
      </w:r>
    </w:p>
  </w:footnote>
  <w:footnote w:id="121">
    <w:p w:rsidR="00E26342" w:rsidRDefault="00040788">
      <w:pPr>
        <w:pStyle w:val="FootnoteText"/>
      </w:pPr>
      <w:r>
        <w:rPr>
          <w:rStyle w:val="FootnoteReference"/>
        </w:rPr>
        <w:footnoteRef/>
      </w:r>
      <w:r>
        <w:t xml:space="preserve"> </w:t>
      </w:r>
      <w:r>
        <w:tab/>
        <w:t xml:space="preserve">Failure to comply with the Court judgment Commission v Poland, </w:t>
      </w:r>
      <w:hyperlink r:id="rId166" w:history="1">
        <w:r>
          <w:rPr>
            <w:rStyle w:val="Hyperlink"/>
          </w:rPr>
          <w:t>C-356/13</w:t>
        </w:r>
      </w:hyperlink>
      <w:r>
        <w:t>.</w:t>
      </w:r>
    </w:p>
  </w:footnote>
  <w:footnote w:id="122">
    <w:p w:rsidR="00E26342" w:rsidRDefault="00040788">
      <w:pPr>
        <w:pStyle w:val="FootnoteText"/>
      </w:pPr>
      <w:r>
        <w:rPr>
          <w:rStyle w:val="FootnoteReference"/>
        </w:rPr>
        <w:footnoteRef/>
      </w:r>
      <w:r>
        <w:t xml:space="preserve"> </w:t>
      </w:r>
      <w:r>
        <w:tab/>
        <w:t xml:space="preserve">Directive </w:t>
      </w:r>
      <w:hyperlink r:id="rId167" w:history="1">
        <w:r>
          <w:rPr>
            <w:rStyle w:val="Hyperlink"/>
          </w:rPr>
          <w:t>93/83/CEE</w:t>
        </w:r>
      </w:hyperlink>
      <w:r>
        <w:t>.</w:t>
      </w:r>
    </w:p>
  </w:footnote>
  <w:footnote w:id="123">
    <w:p w:rsidR="00E26342" w:rsidRDefault="00040788">
      <w:pPr>
        <w:pStyle w:val="FootnoteText"/>
      </w:pPr>
      <w:r>
        <w:rPr>
          <w:rStyle w:val="FootnoteReference"/>
        </w:rPr>
        <w:footnoteRef/>
      </w:r>
      <w:r>
        <w:t xml:space="preserve"> </w:t>
      </w:r>
      <w:r>
        <w:tab/>
        <w:t xml:space="preserve">Directives </w:t>
      </w:r>
      <w:hyperlink r:id="rId168" w:history="1">
        <w:r>
          <w:rPr>
            <w:rStyle w:val="Hyperlink"/>
          </w:rPr>
          <w:t>2016/1034/EU</w:t>
        </w:r>
      </w:hyperlink>
      <w:r>
        <w:t xml:space="preserve"> and </w:t>
      </w:r>
      <w:hyperlink r:id="rId169" w:history="1">
        <w:r>
          <w:rPr>
            <w:rStyle w:val="Hyperlink"/>
          </w:rPr>
          <w:t>2014/56/EU</w:t>
        </w:r>
      </w:hyperlink>
      <w:r>
        <w:t>.</w:t>
      </w:r>
    </w:p>
  </w:footnote>
  <w:footnote w:id="124">
    <w:p w:rsidR="00E26342" w:rsidRDefault="00040788">
      <w:pPr>
        <w:pStyle w:val="FootnoteText"/>
      </w:pPr>
      <w:r>
        <w:rPr>
          <w:rStyle w:val="FootnoteReference"/>
        </w:rPr>
        <w:footnoteRef/>
      </w:r>
      <w:r>
        <w:t xml:space="preserve"> </w:t>
      </w:r>
      <w:r>
        <w:tab/>
        <w:t xml:space="preserve">Directive </w:t>
      </w:r>
      <w:hyperlink r:id="rId170" w:history="1">
        <w:r>
          <w:rPr>
            <w:rStyle w:val="Hyperlink"/>
          </w:rPr>
          <w:t>2015/849/EU</w:t>
        </w:r>
      </w:hyperlink>
      <w:r>
        <w:t xml:space="preserve">, </w:t>
      </w:r>
      <w:hyperlink r:id="rId171" w:history="1">
        <w:r>
          <w:rPr>
            <w:rStyle w:val="Hyperlink"/>
          </w:rPr>
          <w:t>MEMO/17/4767</w:t>
        </w:r>
      </w:hyperlink>
      <w:r>
        <w:t>.</w:t>
      </w:r>
    </w:p>
  </w:footnote>
  <w:footnote w:id="125">
    <w:p w:rsidR="00E26342" w:rsidRDefault="00040788">
      <w:pPr>
        <w:pStyle w:val="FootnoteText"/>
      </w:pPr>
      <w:r>
        <w:rPr>
          <w:rStyle w:val="FootnoteReference"/>
        </w:rPr>
        <w:footnoteRef/>
      </w:r>
      <w:r>
        <w:t xml:space="preserve"> </w:t>
      </w:r>
      <w:r>
        <w:tab/>
        <w:t xml:space="preserve">Directive </w:t>
      </w:r>
      <w:hyperlink r:id="rId172" w:history="1">
        <w:r>
          <w:rPr>
            <w:rStyle w:val="Hyperlink"/>
          </w:rPr>
          <w:t>2015/1794/EU</w:t>
        </w:r>
      </w:hyperlink>
      <w:r>
        <w:t>.</w:t>
      </w:r>
    </w:p>
  </w:footnote>
  <w:footnote w:id="126">
    <w:p w:rsidR="00E26342" w:rsidRDefault="00040788">
      <w:pPr>
        <w:pStyle w:val="FootnoteText"/>
      </w:pPr>
      <w:r>
        <w:rPr>
          <w:rStyle w:val="FootnoteReference"/>
        </w:rPr>
        <w:footnoteRef/>
      </w:r>
      <w:r>
        <w:t xml:space="preserve"> </w:t>
      </w:r>
      <w:r>
        <w:tab/>
        <w:t xml:space="preserve">Directive </w:t>
      </w:r>
      <w:hyperlink r:id="rId173" w:history="1">
        <w:r>
          <w:rPr>
            <w:rStyle w:val="Hyperlink"/>
          </w:rPr>
          <w:t>2014/112/EU</w:t>
        </w:r>
      </w:hyperlink>
      <w:r>
        <w:t>.</w:t>
      </w:r>
    </w:p>
  </w:footnote>
  <w:footnote w:id="127">
    <w:p w:rsidR="00E26342" w:rsidRDefault="00040788">
      <w:pPr>
        <w:pStyle w:val="FootnoteText"/>
      </w:pPr>
      <w:r>
        <w:rPr>
          <w:rStyle w:val="FootnoteReference"/>
        </w:rPr>
        <w:footnoteRef/>
      </w:r>
      <w:r>
        <w:t xml:space="preserve"> </w:t>
      </w:r>
      <w:r>
        <w:tab/>
        <w:t xml:space="preserve">Council Decisions (EU) </w:t>
      </w:r>
      <w:hyperlink r:id="rId174" w:history="1">
        <w:r>
          <w:rPr>
            <w:rStyle w:val="Hyperlink"/>
          </w:rPr>
          <w:t>2015/1523</w:t>
        </w:r>
      </w:hyperlink>
      <w:r>
        <w:t xml:space="preserve"> and </w:t>
      </w:r>
      <w:hyperlink r:id="rId175" w:history="1">
        <w:r>
          <w:rPr>
            <w:rStyle w:val="Hyperlink"/>
          </w:rPr>
          <w:t>2015/1601</w:t>
        </w:r>
      </w:hyperlink>
      <w:r>
        <w:t>, Co</w:t>
      </w:r>
      <w:r>
        <w:t xml:space="preserve">mmission v Poland, </w:t>
      </w:r>
      <w:hyperlink r:id="rId176" w:history="1">
        <w:r>
          <w:rPr>
            <w:rStyle w:val="Hyperlink"/>
          </w:rPr>
          <w:t>C-715/17</w:t>
        </w:r>
      </w:hyperlink>
      <w:r>
        <w:t xml:space="preserve">, </w:t>
      </w:r>
      <w:hyperlink r:id="rId177" w:history="1">
        <w:r>
          <w:rPr>
            <w:rStyle w:val="Hyperlink"/>
          </w:rPr>
          <w:t>IP/17/5002</w:t>
        </w:r>
      </w:hyperlink>
      <w:r>
        <w:t>.</w:t>
      </w:r>
    </w:p>
  </w:footnote>
  <w:footnote w:id="128">
    <w:p w:rsidR="00E26342" w:rsidRDefault="00040788">
      <w:pPr>
        <w:pStyle w:val="FootnoteText"/>
      </w:pPr>
      <w:r>
        <w:rPr>
          <w:rStyle w:val="FootnoteReference"/>
        </w:rPr>
        <w:footnoteRef/>
      </w:r>
      <w:r>
        <w:t xml:space="preserve"> </w:t>
      </w:r>
      <w:r>
        <w:tab/>
        <w:t xml:space="preserve">Directive </w:t>
      </w:r>
      <w:hyperlink r:id="rId178" w:history="1">
        <w:r>
          <w:rPr>
            <w:rStyle w:val="Hyperlink"/>
          </w:rPr>
          <w:t>96/53/EC</w:t>
        </w:r>
      </w:hyperlink>
      <w:r>
        <w:t xml:space="preserve">, Commission v Poland, </w:t>
      </w:r>
      <w:hyperlink r:id="rId179" w:history="1">
        <w:r>
          <w:rPr>
            <w:rStyle w:val="Hyperlink"/>
          </w:rPr>
          <w:t>C-127/2017</w:t>
        </w:r>
      </w:hyperlink>
      <w:r>
        <w:t xml:space="preserve">, </w:t>
      </w:r>
      <w:hyperlink r:id="rId180" w:history="1">
        <w:r>
          <w:rPr>
            <w:rStyle w:val="Hyperlink"/>
          </w:rPr>
          <w:t>IP/16/3649</w:t>
        </w:r>
      </w:hyperlink>
      <w:r>
        <w:t xml:space="preserve">, </w:t>
      </w:r>
      <w:hyperlink r:id="rId181" w:history="1">
        <w:r>
          <w:rPr>
            <w:rStyle w:val="Hyperlink"/>
          </w:rPr>
          <w:t>MEMO/16/3644</w:t>
        </w:r>
      </w:hyperlink>
      <w:r>
        <w:t>.</w:t>
      </w:r>
    </w:p>
  </w:footnote>
  <w:footnote w:id="129">
    <w:p w:rsidR="00E26342" w:rsidRDefault="00040788">
      <w:pPr>
        <w:pStyle w:val="FootnoteText"/>
      </w:pPr>
      <w:r>
        <w:rPr>
          <w:rStyle w:val="FootnoteReference"/>
        </w:rPr>
        <w:footnoteRef/>
      </w:r>
      <w:r>
        <w:t xml:space="preserve"> </w:t>
      </w:r>
      <w:r>
        <w:tab/>
        <w:t xml:space="preserve">Directives </w:t>
      </w:r>
      <w:hyperlink r:id="rId182" w:history="1">
        <w:r>
          <w:rPr>
            <w:rStyle w:val="Hyperlink"/>
          </w:rPr>
          <w:t>92/43/EEC</w:t>
        </w:r>
      </w:hyperlink>
      <w:r>
        <w:t xml:space="preserve"> and </w:t>
      </w:r>
      <w:hyperlink r:id="rId183" w:history="1">
        <w:r>
          <w:rPr>
            <w:rStyle w:val="Hyperlink"/>
          </w:rPr>
          <w:t>2009/147/EC</w:t>
        </w:r>
      </w:hyperlink>
      <w:r>
        <w:t>,</w:t>
      </w:r>
      <w:r>
        <w:rPr>
          <w:rFonts w:ascii="Verdana" w:hAnsi="Verdana"/>
          <w:color w:val="18399C"/>
        </w:rPr>
        <w:t xml:space="preserve"> </w:t>
      </w:r>
      <w:r>
        <w:t xml:space="preserve">Commission v Poland (Forêt de Białowieża), </w:t>
      </w:r>
      <w:hyperlink r:id="rId184" w:history="1">
        <w:r>
          <w:rPr>
            <w:rStyle w:val="Hyperlink"/>
          </w:rPr>
          <w:t>C-441/17</w:t>
        </w:r>
      </w:hyperlink>
      <w:r>
        <w:t xml:space="preserve">; </w:t>
      </w:r>
      <w:hyperlink r:id="rId185" w:history="1">
        <w:r>
          <w:rPr>
            <w:rStyle w:val="Hyperlink"/>
          </w:rPr>
          <w:t>IP/17/1948</w:t>
        </w:r>
      </w:hyperlink>
      <w:r>
        <w:t xml:space="preserve">. The Commission also requested interim measures compelling Poland to cease operations immediately, </w:t>
      </w:r>
      <w:hyperlink r:id="rId186" w:history="1">
        <w:r>
          <w:rPr>
            <w:rStyle w:val="Hyperlink"/>
          </w:rPr>
          <w:t>C-441/17 R</w:t>
        </w:r>
      </w:hyperlink>
      <w:r>
        <w:t xml:space="preserve">. The Court granted the Commission’s request for interim measures and confirmed that Poland could face financial penalties if it did not respect the Court decision; Court press release </w:t>
      </w:r>
      <w:hyperlink r:id="rId187" w:history="1">
        <w:r>
          <w:rPr>
            <w:rStyle w:val="Hyperlink"/>
          </w:rPr>
          <w:t>No 122/17</w:t>
        </w:r>
      </w:hyperlink>
      <w:r>
        <w:t>.</w:t>
      </w:r>
    </w:p>
  </w:footnote>
  <w:footnote w:id="130">
    <w:p w:rsidR="00E26342" w:rsidRDefault="00040788">
      <w:pPr>
        <w:pStyle w:val="FootnoteText"/>
        <w:rPr>
          <w:szCs w:val="18"/>
        </w:rPr>
      </w:pPr>
      <w:r>
        <w:rPr>
          <w:rStyle w:val="FootnoteReference"/>
          <w:szCs w:val="18"/>
        </w:rPr>
        <w:footnoteRef/>
      </w:r>
      <w:r>
        <w:rPr>
          <w:szCs w:val="18"/>
        </w:rPr>
        <w:t xml:space="preserve"> </w:t>
      </w:r>
      <w:r>
        <w:rPr>
          <w:szCs w:val="18"/>
        </w:rPr>
        <w:tab/>
      </w:r>
      <w:r>
        <w:t xml:space="preserve">Commission Decisions </w:t>
      </w:r>
      <w:hyperlink r:id="rId188" w:history="1">
        <w:r>
          <w:rPr>
            <w:rStyle w:val="Hyperlink"/>
          </w:rPr>
          <w:t>C (2013) 6181</w:t>
        </w:r>
      </w:hyperlink>
      <w:r>
        <w:t xml:space="preserve"> and </w:t>
      </w:r>
      <w:hyperlink r:id="rId189" w:history="1">
        <w:r>
          <w:rPr>
            <w:rStyle w:val="Hyperlink"/>
          </w:rPr>
          <w:t>C (2013) 6178</w:t>
        </w:r>
      </w:hyperlink>
      <w:r>
        <w:t>.</w:t>
      </w:r>
    </w:p>
  </w:footnote>
  <w:footnote w:id="131">
    <w:p w:rsidR="00E26342" w:rsidRDefault="00040788">
      <w:pPr>
        <w:pStyle w:val="FootnoteText"/>
        <w:rPr>
          <w:szCs w:val="18"/>
        </w:rPr>
      </w:pPr>
      <w:r>
        <w:rPr>
          <w:rStyle w:val="FootnoteReference"/>
          <w:szCs w:val="18"/>
        </w:rPr>
        <w:footnoteRef/>
      </w:r>
      <w:r>
        <w:rPr>
          <w:szCs w:val="18"/>
        </w:rPr>
        <w:t xml:space="preserve"> </w:t>
      </w:r>
      <w:r>
        <w:rPr>
          <w:szCs w:val="18"/>
        </w:rPr>
        <w:tab/>
      </w:r>
      <w:r>
        <w:t xml:space="preserve">Directive </w:t>
      </w:r>
      <w:hyperlink r:id="rId190" w:history="1">
        <w:r>
          <w:rPr>
            <w:rStyle w:val="Hyperlink"/>
          </w:rPr>
          <w:t>2014/80/EU</w:t>
        </w:r>
      </w:hyperlink>
      <w:r>
        <w:rPr>
          <w:szCs w:val="18"/>
        </w:rPr>
        <w:t>.</w:t>
      </w:r>
    </w:p>
  </w:footnote>
  <w:footnote w:id="132">
    <w:p w:rsidR="00E26342" w:rsidRDefault="00040788">
      <w:pPr>
        <w:pStyle w:val="FootnoteText"/>
        <w:rPr>
          <w:szCs w:val="18"/>
        </w:rPr>
      </w:pPr>
      <w:r>
        <w:rPr>
          <w:rStyle w:val="FootnoteReference"/>
          <w:szCs w:val="18"/>
        </w:rPr>
        <w:footnoteRef/>
      </w:r>
      <w:r>
        <w:rPr>
          <w:szCs w:val="18"/>
        </w:rPr>
        <w:t xml:space="preserve"> </w:t>
      </w:r>
      <w:r>
        <w:rPr>
          <w:szCs w:val="18"/>
        </w:rPr>
        <w:tab/>
      </w:r>
      <w:r>
        <w:t xml:space="preserve">Directive </w:t>
      </w:r>
      <w:hyperlink r:id="rId191" w:history="1">
        <w:r>
          <w:rPr>
            <w:rStyle w:val="Hyperlink"/>
          </w:rPr>
          <w:t>2006/118/EC</w:t>
        </w:r>
      </w:hyperlink>
      <w:r>
        <w:t>.</w:t>
      </w:r>
    </w:p>
  </w:footnote>
  <w:footnote w:id="133">
    <w:p w:rsidR="00E26342" w:rsidRDefault="00040788">
      <w:pPr>
        <w:pStyle w:val="FootnoteText"/>
        <w:rPr>
          <w:szCs w:val="18"/>
        </w:rPr>
      </w:pPr>
      <w:r>
        <w:rPr>
          <w:rStyle w:val="FootnoteReference"/>
          <w:szCs w:val="18"/>
        </w:rPr>
        <w:footnoteRef/>
      </w:r>
      <w:r>
        <w:rPr>
          <w:szCs w:val="18"/>
        </w:rPr>
        <w:t xml:space="preserve"> </w:t>
      </w:r>
      <w:r>
        <w:rPr>
          <w:szCs w:val="18"/>
        </w:rPr>
        <w:tab/>
        <w:t xml:space="preserve">Directive </w:t>
      </w:r>
      <w:hyperlink r:id="rId192" w:history="1">
        <w:r>
          <w:rPr>
            <w:rStyle w:val="Hyperlink"/>
            <w:szCs w:val="18"/>
          </w:rPr>
          <w:t>2014/94/EU</w:t>
        </w:r>
      </w:hyperlink>
      <w:r>
        <w:rPr>
          <w:szCs w:val="18"/>
        </w:rPr>
        <w:t>.</w:t>
      </w:r>
    </w:p>
  </w:footnote>
  <w:footnote w:id="134">
    <w:p w:rsidR="00E26342" w:rsidRDefault="00040788">
      <w:pPr>
        <w:pStyle w:val="FootnoteText"/>
        <w:rPr>
          <w:szCs w:val="18"/>
        </w:rPr>
      </w:pPr>
      <w:r>
        <w:rPr>
          <w:rStyle w:val="FootnoteReference"/>
          <w:szCs w:val="18"/>
        </w:rPr>
        <w:footnoteRef/>
      </w:r>
      <w:r>
        <w:rPr>
          <w:szCs w:val="18"/>
        </w:rPr>
        <w:t xml:space="preserve"> </w:t>
      </w:r>
      <w:r>
        <w:rPr>
          <w:szCs w:val="18"/>
        </w:rPr>
        <w:tab/>
        <w:t xml:space="preserve">Directive </w:t>
      </w:r>
      <w:hyperlink r:id="rId193" w:history="1">
        <w:r>
          <w:rPr>
            <w:rStyle w:val="Hyperlink"/>
            <w:szCs w:val="18"/>
          </w:rPr>
          <w:t>2009/12/EC</w:t>
        </w:r>
      </w:hyperlink>
      <w:r>
        <w:rPr>
          <w:szCs w:val="18"/>
        </w:rPr>
        <w:t>.</w:t>
      </w:r>
    </w:p>
  </w:footnote>
  <w:footnote w:id="135">
    <w:p w:rsidR="00E26342" w:rsidRDefault="00040788">
      <w:pPr>
        <w:pStyle w:val="FootnoteText"/>
        <w:rPr>
          <w:szCs w:val="18"/>
        </w:rPr>
      </w:pPr>
      <w:r>
        <w:rPr>
          <w:rStyle w:val="FootnoteReference"/>
          <w:szCs w:val="18"/>
        </w:rPr>
        <w:footnoteRef/>
      </w:r>
      <w:r>
        <w:rPr>
          <w:szCs w:val="18"/>
        </w:rPr>
        <w:t xml:space="preserve"> </w:t>
      </w:r>
      <w:r>
        <w:rPr>
          <w:szCs w:val="18"/>
        </w:rPr>
        <w:tab/>
        <w:t xml:space="preserve">Directive </w:t>
      </w:r>
      <w:hyperlink r:id="rId194" w:history="1">
        <w:r>
          <w:rPr>
            <w:rStyle w:val="Hyperlink"/>
            <w:szCs w:val="18"/>
          </w:rPr>
          <w:t>2008/57/EC</w:t>
        </w:r>
      </w:hyperlink>
      <w:r>
        <w:rPr>
          <w:szCs w:val="18"/>
        </w:rPr>
        <w:t>.</w:t>
      </w:r>
    </w:p>
  </w:footnote>
  <w:footnote w:id="136">
    <w:p w:rsidR="00E26342" w:rsidRDefault="00040788">
      <w:pPr>
        <w:pStyle w:val="FootnoteText"/>
        <w:rPr>
          <w:szCs w:val="18"/>
        </w:rPr>
      </w:pPr>
      <w:r>
        <w:rPr>
          <w:rStyle w:val="FootnoteReference"/>
          <w:szCs w:val="18"/>
        </w:rPr>
        <w:footnoteRef/>
      </w:r>
      <w:r>
        <w:rPr>
          <w:szCs w:val="18"/>
        </w:rPr>
        <w:t xml:space="preserve"> </w:t>
      </w:r>
      <w:r>
        <w:rPr>
          <w:szCs w:val="18"/>
        </w:rPr>
        <w:tab/>
      </w:r>
      <w:hyperlink r:id="rId195" w:history="1">
        <w:r>
          <w:rPr>
            <w:rStyle w:val="Hyperlink"/>
            <w:szCs w:val="18"/>
          </w:rPr>
          <w:t>IP/17/5109</w:t>
        </w:r>
      </w:hyperlink>
      <w:r>
        <w:rPr>
          <w:szCs w:val="18"/>
        </w:rPr>
        <w:t>.</w:t>
      </w:r>
    </w:p>
  </w:footnote>
  <w:footnote w:id="137">
    <w:p w:rsidR="00E26342" w:rsidRDefault="00040788">
      <w:pPr>
        <w:pStyle w:val="FootnoteText"/>
        <w:rPr>
          <w:szCs w:val="18"/>
        </w:rPr>
      </w:pPr>
      <w:r>
        <w:rPr>
          <w:rStyle w:val="FootnoteReference"/>
          <w:szCs w:val="18"/>
        </w:rPr>
        <w:footnoteRef/>
      </w:r>
      <w:r>
        <w:rPr>
          <w:szCs w:val="18"/>
        </w:rPr>
        <w:t xml:space="preserve"> </w:t>
      </w:r>
      <w:r>
        <w:rPr>
          <w:szCs w:val="18"/>
        </w:rPr>
        <w:tab/>
        <w:t xml:space="preserve">Directive </w:t>
      </w:r>
      <w:hyperlink r:id="rId196" w:history="1">
        <w:r>
          <w:rPr>
            <w:rStyle w:val="Hyperlink"/>
            <w:szCs w:val="18"/>
          </w:rPr>
          <w:t>2012/18/EU</w:t>
        </w:r>
      </w:hyperlink>
      <w:r>
        <w:rPr>
          <w:szCs w:val="18"/>
        </w:rPr>
        <w:t>.</w:t>
      </w:r>
    </w:p>
  </w:footnote>
  <w:footnote w:id="138">
    <w:p w:rsidR="00E26342" w:rsidRDefault="00040788">
      <w:pPr>
        <w:pStyle w:val="FootnoteText"/>
        <w:rPr>
          <w:szCs w:val="18"/>
        </w:rPr>
      </w:pPr>
      <w:r>
        <w:rPr>
          <w:rStyle w:val="FootnoteReference"/>
          <w:szCs w:val="18"/>
        </w:rPr>
        <w:footnoteRef/>
      </w:r>
      <w:r>
        <w:rPr>
          <w:szCs w:val="18"/>
        </w:rPr>
        <w:t xml:space="preserve"> </w:t>
      </w:r>
      <w:r>
        <w:rPr>
          <w:szCs w:val="18"/>
        </w:rPr>
        <w:tab/>
        <w:t xml:space="preserve">Directives </w:t>
      </w:r>
      <w:hyperlink r:id="rId197" w:history="1">
        <w:r>
          <w:rPr>
            <w:rStyle w:val="Hyperlink"/>
            <w:szCs w:val="18"/>
          </w:rPr>
          <w:t>2013/50/EU</w:t>
        </w:r>
      </w:hyperlink>
      <w:r>
        <w:rPr>
          <w:szCs w:val="18"/>
        </w:rPr>
        <w:t xml:space="preserve">, </w:t>
      </w:r>
      <w:hyperlink r:id="rId198" w:history="1">
        <w:r>
          <w:rPr>
            <w:rStyle w:val="Hyperlink"/>
            <w:szCs w:val="18"/>
          </w:rPr>
          <w:t>2014/49/EU</w:t>
        </w:r>
      </w:hyperlink>
      <w:r>
        <w:rPr>
          <w:szCs w:val="18"/>
        </w:rPr>
        <w:t xml:space="preserve">, </w:t>
      </w:r>
      <w:hyperlink r:id="rId199" w:history="1">
        <w:r>
          <w:rPr>
            <w:rStyle w:val="Hyperlink"/>
            <w:szCs w:val="18"/>
          </w:rPr>
          <w:t>2014/59/EU</w:t>
        </w:r>
      </w:hyperlink>
      <w:r>
        <w:rPr>
          <w:szCs w:val="18"/>
        </w:rPr>
        <w:t xml:space="preserve"> and </w:t>
      </w:r>
      <w:hyperlink r:id="rId200" w:history="1">
        <w:r>
          <w:rPr>
            <w:rStyle w:val="Hyperlink"/>
            <w:szCs w:val="18"/>
          </w:rPr>
          <w:t>2013/34/EU</w:t>
        </w:r>
      </w:hyperlink>
      <w:r>
        <w:rPr>
          <w:szCs w:val="18"/>
        </w:rPr>
        <w:t>.</w:t>
      </w:r>
    </w:p>
  </w:footnote>
  <w:footnote w:id="139">
    <w:p w:rsidR="00E26342" w:rsidRDefault="00040788">
      <w:pPr>
        <w:pStyle w:val="FootnoteText"/>
        <w:rPr>
          <w:szCs w:val="18"/>
        </w:rPr>
      </w:pPr>
      <w:r>
        <w:rPr>
          <w:rStyle w:val="FootnoteReference"/>
          <w:szCs w:val="18"/>
        </w:rPr>
        <w:footnoteRef/>
      </w:r>
      <w:r>
        <w:rPr>
          <w:szCs w:val="18"/>
        </w:rPr>
        <w:t xml:space="preserve"> </w:t>
      </w:r>
      <w:r>
        <w:rPr>
          <w:szCs w:val="18"/>
        </w:rPr>
        <w:tab/>
        <w:t xml:space="preserve">Directive </w:t>
      </w:r>
      <w:hyperlink r:id="rId201" w:history="1">
        <w:r>
          <w:rPr>
            <w:rStyle w:val="Hyperlink"/>
            <w:szCs w:val="18"/>
          </w:rPr>
          <w:t>2012/34/EU</w:t>
        </w:r>
      </w:hyperlink>
      <w:r>
        <w:rPr>
          <w:szCs w:val="18"/>
        </w:rPr>
        <w:t>.</w:t>
      </w:r>
    </w:p>
  </w:footnote>
  <w:footnote w:id="140">
    <w:p w:rsidR="00E26342" w:rsidRDefault="00040788">
      <w:pPr>
        <w:pStyle w:val="FootnoteText"/>
        <w:rPr>
          <w:szCs w:val="18"/>
        </w:rPr>
      </w:pPr>
      <w:r>
        <w:rPr>
          <w:rStyle w:val="FootnoteReference"/>
          <w:szCs w:val="18"/>
        </w:rPr>
        <w:footnoteRef/>
      </w:r>
      <w:r>
        <w:rPr>
          <w:szCs w:val="18"/>
        </w:rPr>
        <w:t xml:space="preserve"> </w:t>
      </w:r>
      <w:r>
        <w:rPr>
          <w:szCs w:val="18"/>
        </w:rPr>
        <w:tab/>
        <w:t xml:space="preserve">Directive </w:t>
      </w:r>
      <w:hyperlink r:id="rId202" w:history="1">
        <w:r>
          <w:rPr>
            <w:rStyle w:val="Hyperlink"/>
            <w:szCs w:val="18"/>
          </w:rPr>
          <w:t>2014/28/EU</w:t>
        </w:r>
      </w:hyperlink>
      <w:r>
        <w:rPr>
          <w:rStyle w:val="Strong"/>
          <w:b w:val="0"/>
          <w:szCs w:val="18"/>
        </w:rPr>
        <w:t>.</w:t>
      </w:r>
    </w:p>
  </w:footnote>
  <w:footnote w:id="141">
    <w:p w:rsidR="00E26342" w:rsidRDefault="00040788">
      <w:pPr>
        <w:pStyle w:val="FootnoteText"/>
        <w:rPr>
          <w:szCs w:val="18"/>
        </w:rPr>
      </w:pPr>
      <w:r>
        <w:rPr>
          <w:rStyle w:val="FootnoteReference"/>
          <w:szCs w:val="18"/>
        </w:rPr>
        <w:footnoteRef/>
      </w:r>
      <w:r>
        <w:rPr>
          <w:szCs w:val="18"/>
        </w:rPr>
        <w:t xml:space="preserve"> </w:t>
      </w:r>
      <w:r>
        <w:rPr>
          <w:szCs w:val="18"/>
        </w:rPr>
        <w:tab/>
        <w:t>These rulings are almost e</w:t>
      </w:r>
      <w:r>
        <w:rPr>
          <w:szCs w:val="18"/>
        </w:rPr>
        <w:t>xclusively handed down in infringement procedures.</w:t>
      </w:r>
    </w:p>
  </w:footnote>
  <w:footnote w:id="142">
    <w:p w:rsidR="00E26342" w:rsidRDefault="00040788">
      <w:pPr>
        <w:pStyle w:val="FootnoteText"/>
      </w:pPr>
      <w:r>
        <w:rPr>
          <w:rStyle w:val="FootnoteReference"/>
          <w:szCs w:val="18"/>
        </w:rPr>
        <w:footnoteRef/>
      </w:r>
      <w:r>
        <w:rPr>
          <w:szCs w:val="18"/>
        </w:rPr>
        <w:t xml:space="preserve"> </w:t>
      </w:r>
      <w:r>
        <w:rPr>
          <w:szCs w:val="18"/>
        </w:rPr>
        <w:tab/>
      </w:r>
      <w:r>
        <w:rPr>
          <w:rStyle w:val="affairetitle"/>
        </w:rPr>
        <w:t>Commission v Poland (Forêt de Białowieża)</w:t>
      </w:r>
      <w:r>
        <w:rPr>
          <w:szCs w:val="18"/>
        </w:rPr>
        <w:t xml:space="preserve">, </w:t>
      </w:r>
      <w:hyperlink r:id="rId203" w:history="1">
        <w:r>
          <w:rPr>
            <w:rStyle w:val="Hyperlink"/>
            <w:szCs w:val="18"/>
          </w:rPr>
          <w:t>C-441/17</w:t>
        </w:r>
      </w:hyperlink>
      <w:r>
        <w:rPr>
          <w:szCs w:val="18"/>
        </w:rPr>
        <w:t xml:space="preserve"> R and Court press release </w:t>
      </w:r>
      <w:hyperlink r:id="rId204" w:history="1">
        <w:r>
          <w:rPr>
            <w:rStyle w:val="Hyperlink"/>
            <w:szCs w:val="18"/>
          </w:rPr>
          <w:t>No 122/17</w:t>
        </w:r>
      </w:hyperlink>
      <w:r>
        <w:rPr>
          <w:szCs w:val="18"/>
        </w:rPr>
        <w:t>.</w:t>
      </w:r>
    </w:p>
  </w:footnote>
  <w:footnote w:id="143">
    <w:p w:rsidR="00E26342" w:rsidRDefault="00040788">
      <w:pPr>
        <w:pStyle w:val="FootnoteText"/>
        <w:rPr>
          <w:lang w:val="pl-PL"/>
        </w:rPr>
      </w:pPr>
      <w:r>
        <w:rPr>
          <w:rStyle w:val="FootnoteReference"/>
        </w:rPr>
        <w:footnoteRef/>
      </w:r>
      <w:r>
        <w:rPr>
          <w:lang w:val="pl-PL"/>
        </w:rPr>
        <w:t xml:space="preserve"> </w:t>
      </w:r>
      <w:r>
        <w:rPr>
          <w:lang w:val="pl-PL"/>
        </w:rPr>
        <w:tab/>
        <w:t xml:space="preserve">J. D. v Prezes Urzędu Regulacji Energetyki, </w:t>
      </w:r>
      <w:hyperlink r:id="rId205" w:history="1">
        <w:r>
          <w:rPr>
            <w:rStyle w:val="Hyperlink"/>
            <w:lang w:val="pl-PL"/>
          </w:rPr>
          <w:t>C-4/16</w:t>
        </w:r>
      </w:hyperlink>
      <w:r>
        <w:rPr>
          <w:lang w:val="pl-PL"/>
        </w:rPr>
        <w:t>.</w:t>
      </w:r>
    </w:p>
  </w:footnote>
  <w:footnote w:id="144">
    <w:p w:rsidR="00E26342" w:rsidRDefault="00040788">
      <w:pPr>
        <w:pStyle w:val="FootnoteText"/>
        <w:rPr>
          <w:lang w:val="nl-NL"/>
        </w:rPr>
      </w:pPr>
      <w:r>
        <w:rPr>
          <w:rStyle w:val="FootnoteReference"/>
        </w:rPr>
        <w:footnoteRef/>
      </w:r>
      <w:r>
        <w:rPr>
          <w:lang w:val="nl-NL"/>
        </w:rPr>
        <w:t xml:space="preserve"> </w:t>
      </w:r>
      <w:r>
        <w:rPr>
          <w:lang w:val="nl-NL"/>
        </w:rPr>
        <w:tab/>
        <w:t xml:space="preserve">Directive </w:t>
      </w:r>
      <w:hyperlink r:id="rId206" w:history="1">
        <w:r>
          <w:rPr>
            <w:rStyle w:val="Hyperlink"/>
            <w:lang w:val="nl-NL"/>
          </w:rPr>
          <w:t>2002/19/EC</w:t>
        </w:r>
      </w:hyperlink>
      <w:r>
        <w:rPr>
          <w:lang w:val="nl-NL"/>
        </w:rPr>
        <w:t xml:space="preserve">; Polkomtel sp. z o.o., </w:t>
      </w:r>
      <w:hyperlink r:id="rId207" w:history="1">
        <w:r>
          <w:rPr>
            <w:rStyle w:val="Hyperlink"/>
            <w:lang w:val="nl-NL"/>
          </w:rPr>
          <w:t>C-277/16</w:t>
        </w:r>
      </w:hyperlink>
      <w:r>
        <w:rPr>
          <w:lang w:val="nl-NL"/>
        </w:rPr>
        <w:t>.</w:t>
      </w:r>
    </w:p>
  </w:footnote>
  <w:footnote w:id="145">
    <w:p w:rsidR="00E26342" w:rsidRDefault="00040788">
      <w:pPr>
        <w:pStyle w:val="FootnoteText"/>
      </w:pPr>
      <w:r>
        <w:rPr>
          <w:rStyle w:val="FootnoteReference"/>
        </w:rPr>
        <w:footnoteRef/>
      </w:r>
      <w:r>
        <w:t xml:space="preserve"> </w:t>
      </w:r>
      <w:r>
        <w:tab/>
        <w:t xml:space="preserve">Polbud — Wykonawstwo, </w:t>
      </w:r>
      <w:hyperlink r:id="rId208" w:history="1">
        <w:r>
          <w:rPr>
            <w:rStyle w:val="Hyperlink"/>
          </w:rPr>
          <w:t>C-106/16</w:t>
        </w:r>
      </w:hyperlink>
      <w:r>
        <w:t xml:space="preserve"> and Court press release No </w:t>
      </w:r>
      <w:hyperlink r:id="rId209" w:history="1">
        <w:r>
          <w:rPr>
            <w:rStyle w:val="Hyperlink"/>
          </w:rPr>
          <w:t>112/17</w:t>
        </w:r>
      </w:hyperlink>
      <w:r>
        <w:t>.</w:t>
      </w:r>
    </w:p>
  </w:footnote>
  <w:footnote w:id="146">
    <w:p w:rsidR="00E26342" w:rsidRDefault="00040788">
      <w:pPr>
        <w:pStyle w:val="FootnoteText"/>
      </w:pPr>
      <w:r>
        <w:rPr>
          <w:rStyle w:val="FootnoteReference"/>
        </w:rPr>
        <w:footnoteRef/>
      </w:r>
      <w:r>
        <w:t xml:space="preserve"> </w:t>
      </w:r>
      <w:r>
        <w:tab/>
        <w:t xml:space="preserve">Regulation (EC) No </w:t>
      </w:r>
      <w:hyperlink r:id="rId210" w:history="1">
        <w:r>
          <w:rPr>
            <w:rStyle w:val="Hyperlink"/>
          </w:rPr>
          <w:t>810/2009</w:t>
        </w:r>
      </w:hyperlink>
      <w:r>
        <w:t>.</w:t>
      </w:r>
    </w:p>
  </w:footnote>
  <w:footnote w:id="147">
    <w:p w:rsidR="00E26342" w:rsidRDefault="00040788">
      <w:pPr>
        <w:pStyle w:val="FootnoteText"/>
      </w:pPr>
      <w:r>
        <w:rPr>
          <w:rStyle w:val="FootnoteReference"/>
        </w:rPr>
        <w:footnoteRef/>
      </w:r>
      <w:r>
        <w:t xml:space="preserve"> </w:t>
      </w:r>
      <w:r>
        <w:tab/>
        <w:t xml:space="preserve">Soufiane Hassani, </w:t>
      </w:r>
      <w:hyperlink r:id="rId211" w:history="1">
        <w:r>
          <w:rPr>
            <w:rStyle w:val="Hyperlink"/>
          </w:rPr>
          <w:t>C-403/16</w:t>
        </w:r>
      </w:hyperlink>
      <w:r>
        <w:t>.</w:t>
      </w:r>
    </w:p>
  </w:footnote>
  <w:footnote w:id="148">
    <w:p w:rsidR="00E26342" w:rsidRDefault="00040788">
      <w:pPr>
        <w:pStyle w:val="FootnoteText"/>
      </w:pPr>
      <w:r>
        <w:rPr>
          <w:rStyle w:val="FootnoteReference"/>
        </w:rPr>
        <w:footnoteRef/>
      </w:r>
      <w:r>
        <w:t xml:space="preserve"> </w:t>
      </w:r>
      <w:r>
        <w:tab/>
        <w:t xml:space="preserve">Directive </w:t>
      </w:r>
      <w:hyperlink r:id="rId212" w:history="1">
        <w:r>
          <w:rPr>
            <w:rStyle w:val="Hyperlink"/>
          </w:rPr>
          <w:t>1998/59/EC</w:t>
        </w:r>
      </w:hyperlink>
      <w:r>
        <w:t>.</w:t>
      </w:r>
    </w:p>
  </w:footnote>
  <w:footnote w:id="149">
    <w:p w:rsidR="00E26342" w:rsidRDefault="00040788">
      <w:pPr>
        <w:pStyle w:val="FootnoteText"/>
      </w:pPr>
      <w:r>
        <w:rPr>
          <w:rStyle w:val="FootnoteReference"/>
        </w:rPr>
        <w:footnoteRef/>
      </w:r>
      <w:r>
        <w:t xml:space="preserve"> </w:t>
      </w:r>
      <w:r>
        <w:tab/>
        <w:t xml:space="preserve">Socha, </w:t>
      </w:r>
      <w:hyperlink r:id="rId213" w:history="1">
        <w:r>
          <w:rPr>
            <w:rStyle w:val="Hyperlink"/>
          </w:rPr>
          <w:t>C-149/16</w:t>
        </w:r>
      </w:hyperlink>
      <w:r>
        <w:t xml:space="preserve"> and Ciupa, </w:t>
      </w:r>
      <w:hyperlink r:id="rId214" w:history="1">
        <w:r>
          <w:rPr>
            <w:rStyle w:val="Hyperlink"/>
          </w:rPr>
          <w:t>C-429/16</w:t>
        </w:r>
      </w:hyperlink>
      <w:r>
        <w:t>.</w:t>
      </w:r>
    </w:p>
  </w:footnote>
  <w:footnote w:id="150">
    <w:p w:rsidR="00E26342" w:rsidRDefault="00040788">
      <w:pPr>
        <w:pStyle w:val="FootnoteText"/>
      </w:pPr>
      <w:r>
        <w:rPr>
          <w:rStyle w:val="FootnoteReference"/>
        </w:rPr>
        <w:footnoteRef/>
      </w:r>
      <w:r>
        <w:t xml:space="preserve"> </w:t>
      </w:r>
      <w:r>
        <w:tab/>
        <w:t xml:space="preserve">Regulation (EC) No </w:t>
      </w:r>
      <w:hyperlink r:id="rId215" w:history="1">
        <w:r>
          <w:rPr>
            <w:rStyle w:val="Hyperlink"/>
          </w:rPr>
          <w:t>810/2009</w:t>
        </w:r>
      </w:hyperlink>
      <w:r>
        <w:t>.</w:t>
      </w:r>
    </w:p>
  </w:footnote>
  <w:footnote w:id="151">
    <w:p w:rsidR="00E26342" w:rsidRDefault="00040788">
      <w:pPr>
        <w:pStyle w:val="FootnoteText"/>
      </w:pPr>
      <w:r>
        <w:rPr>
          <w:rStyle w:val="FootnoteReference"/>
        </w:rPr>
        <w:footnoteRef/>
      </w:r>
      <w:r>
        <w:t xml:space="preserve"> </w:t>
      </w:r>
      <w:r>
        <w:tab/>
        <w:t xml:space="preserve">Soufiane Hassani, </w:t>
      </w:r>
      <w:hyperlink r:id="rId216" w:history="1">
        <w:r>
          <w:rPr>
            <w:rStyle w:val="Hyperlink"/>
          </w:rPr>
          <w:t>C-403/16</w:t>
        </w:r>
      </w:hyperlink>
      <w:r>
        <w:t>.</w:t>
      </w:r>
    </w:p>
  </w:footnote>
  <w:footnote w:id="152">
    <w:p w:rsidR="00E26342" w:rsidRDefault="00040788">
      <w:pPr>
        <w:pStyle w:val="FootnoteText"/>
        <w:rPr>
          <w:lang w:val="pt-PT"/>
        </w:rPr>
      </w:pPr>
      <w:r>
        <w:rPr>
          <w:rStyle w:val="FootnoteReference"/>
        </w:rPr>
        <w:footnoteRef/>
      </w:r>
      <w:r>
        <w:rPr>
          <w:lang w:val="pt-PT"/>
        </w:rPr>
        <w:t xml:space="preserve"> </w:t>
      </w:r>
      <w:r>
        <w:rPr>
          <w:lang w:val="pt-PT"/>
        </w:rPr>
        <w:tab/>
        <w:t xml:space="preserve">Directive (EU) </w:t>
      </w:r>
      <w:hyperlink r:id="rId217" w:history="1">
        <w:r>
          <w:rPr>
            <w:rStyle w:val="Hyperlink"/>
            <w:lang w:val="pt-PT"/>
          </w:rPr>
          <w:t>2015/2203</w:t>
        </w:r>
      </w:hyperlink>
      <w:r>
        <w:rPr>
          <w:lang w:val="pt-PT"/>
        </w:rPr>
        <w:t>.</w:t>
      </w:r>
    </w:p>
  </w:footnote>
  <w:footnote w:id="153">
    <w:p w:rsidR="00E26342" w:rsidRDefault="00040788">
      <w:pPr>
        <w:pStyle w:val="FootnoteText"/>
        <w:rPr>
          <w:lang w:val="pt-PT"/>
        </w:rPr>
      </w:pPr>
      <w:r>
        <w:rPr>
          <w:rStyle w:val="FootnoteReference"/>
        </w:rPr>
        <w:footnoteRef/>
      </w:r>
      <w:r>
        <w:rPr>
          <w:lang w:val="pt-PT"/>
        </w:rPr>
        <w:t xml:space="preserve"> </w:t>
      </w:r>
      <w:r>
        <w:rPr>
          <w:lang w:val="pt-PT"/>
        </w:rPr>
        <w:tab/>
        <w:t xml:space="preserve">Directive </w:t>
      </w:r>
      <w:hyperlink r:id="rId218" w:history="1">
        <w:r>
          <w:rPr>
            <w:rStyle w:val="Hyperlink"/>
            <w:lang w:val="pt-PT"/>
          </w:rPr>
          <w:t>2013/55/EU</w:t>
        </w:r>
      </w:hyperlink>
      <w:r>
        <w:rPr>
          <w:lang w:val="pt-PT"/>
        </w:rPr>
        <w:t>.</w:t>
      </w:r>
    </w:p>
  </w:footnote>
  <w:footnote w:id="154">
    <w:p w:rsidR="00E26342" w:rsidRDefault="00040788">
      <w:pPr>
        <w:pStyle w:val="FootnoteText"/>
        <w:rPr>
          <w:lang w:val="pt-PT"/>
        </w:rPr>
      </w:pPr>
      <w:r>
        <w:rPr>
          <w:rStyle w:val="FootnoteReference"/>
        </w:rPr>
        <w:footnoteRef/>
      </w:r>
      <w:r>
        <w:rPr>
          <w:lang w:val="pt-PT"/>
        </w:rPr>
        <w:t xml:space="preserve"> </w:t>
      </w:r>
      <w:r>
        <w:rPr>
          <w:lang w:val="pt-PT"/>
        </w:rPr>
        <w:tab/>
        <w:t xml:space="preserve">Directive </w:t>
      </w:r>
      <w:hyperlink r:id="rId219" w:history="1">
        <w:r>
          <w:rPr>
            <w:rStyle w:val="Hyperlink"/>
            <w:lang w:val="pt-PT"/>
          </w:rPr>
          <w:t>2015/849/EU</w:t>
        </w:r>
      </w:hyperlink>
      <w:r>
        <w:rPr>
          <w:lang w:val="pt-PT"/>
        </w:rPr>
        <w:t>.</w:t>
      </w:r>
    </w:p>
  </w:footnote>
  <w:footnote w:id="155">
    <w:p w:rsidR="00E26342" w:rsidRDefault="00040788">
      <w:pPr>
        <w:pStyle w:val="FootnoteText"/>
        <w:rPr>
          <w:lang w:val="pt-PT"/>
        </w:rPr>
      </w:pPr>
      <w:r>
        <w:rPr>
          <w:rStyle w:val="FootnoteReference"/>
        </w:rPr>
        <w:footnoteRef/>
      </w:r>
      <w:r>
        <w:rPr>
          <w:lang w:val="pt-PT"/>
        </w:rPr>
        <w:t xml:space="preserve"> </w:t>
      </w:r>
      <w:r>
        <w:rPr>
          <w:lang w:val="pt-PT"/>
        </w:rPr>
        <w:tab/>
        <w:t xml:space="preserve">Directive </w:t>
      </w:r>
      <w:hyperlink r:id="rId220" w:history="1">
        <w:r>
          <w:rPr>
            <w:rStyle w:val="Hyperlink"/>
            <w:lang w:val="pt-PT"/>
          </w:rPr>
          <w:t>2014/65/EU</w:t>
        </w:r>
      </w:hyperlink>
      <w:r>
        <w:rPr>
          <w:lang w:val="pt-PT"/>
        </w:rPr>
        <w:t>.</w:t>
      </w:r>
    </w:p>
  </w:footnote>
  <w:footnote w:id="156">
    <w:p w:rsidR="00E26342" w:rsidRDefault="00040788">
      <w:pPr>
        <w:pStyle w:val="FootnoteText"/>
        <w:rPr>
          <w:lang w:val="pt-PT"/>
        </w:rPr>
      </w:pPr>
      <w:r>
        <w:rPr>
          <w:rStyle w:val="FootnoteReference"/>
        </w:rPr>
        <w:footnoteRef/>
      </w:r>
      <w:r>
        <w:rPr>
          <w:lang w:val="pt-PT"/>
        </w:rPr>
        <w:t xml:space="preserve"> </w:t>
      </w:r>
      <w:r>
        <w:rPr>
          <w:lang w:val="pt-PT"/>
        </w:rPr>
        <w:tab/>
        <w:t xml:space="preserve">Directive </w:t>
      </w:r>
      <w:hyperlink r:id="rId221" w:history="1">
        <w:r>
          <w:rPr>
            <w:rStyle w:val="Hyperlink"/>
            <w:lang w:val="pt-PT"/>
          </w:rPr>
          <w:t>2014/92/EU</w:t>
        </w:r>
      </w:hyperlink>
      <w:r>
        <w:rPr>
          <w:lang w:val="pt-PT"/>
        </w:rPr>
        <w:t xml:space="preserve">, </w:t>
      </w:r>
      <w:hyperlink r:id="rId222" w:history="1">
        <w:r>
          <w:rPr>
            <w:rStyle w:val="Hyperlink"/>
            <w:lang w:val="pt-PT"/>
          </w:rPr>
          <w:t>MEMO/17/1045</w:t>
        </w:r>
      </w:hyperlink>
      <w:r>
        <w:rPr>
          <w:lang w:val="pt-PT"/>
        </w:rPr>
        <w:t>.</w:t>
      </w:r>
    </w:p>
  </w:footnote>
  <w:footnote w:id="157">
    <w:p w:rsidR="00E26342" w:rsidRDefault="00040788">
      <w:pPr>
        <w:pStyle w:val="FootnoteText"/>
        <w:rPr>
          <w:lang w:val="pt-PT"/>
        </w:rPr>
      </w:pPr>
      <w:r>
        <w:rPr>
          <w:rStyle w:val="FootnoteReference"/>
        </w:rPr>
        <w:footnoteRef/>
      </w:r>
      <w:r>
        <w:rPr>
          <w:lang w:val="pt-PT"/>
        </w:rPr>
        <w:t xml:space="preserve"> </w:t>
      </w:r>
      <w:r>
        <w:rPr>
          <w:lang w:val="pt-PT"/>
        </w:rPr>
        <w:tab/>
      </w:r>
      <w:hyperlink r:id="rId223" w:history="1">
        <w:r>
          <w:rPr>
            <w:rStyle w:val="Hyperlink"/>
            <w:lang w:val="pt-PT"/>
          </w:rPr>
          <w:t>MEMO/17/3494</w:t>
        </w:r>
      </w:hyperlink>
      <w:r>
        <w:rPr>
          <w:lang w:val="pt-PT"/>
        </w:rPr>
        <w:t>.</w:t>
      </w:r>
    </w:p>
  </w:footnote>
  <w:footnote w:id="158">
    <w:p w:rsidR="00E26342" w:rsidRDefault="00040788">
      <w:pPr>
        <w:pStyle w:val="FootnoteText"/>
        <w:rPr>
          <w:lang w:val="pt-PT"/>
        </w:rPr>
      </w:pPr>
      <w:r>
        <w:rPr>
          <w:rStyle w:val="FootnoteReference"/>
        </w:rPr>
        <w:footnoteRef/>
      </w:r>
      <w:r>
        <w:rPr>
          <w:lang w:val="pt-PT"/>
        </w:rPr>
        <w:t xml:space="preserve"> </w:t>
      </w:r>
      <w:r>
        <w:rPr>
          <w:lang w:val="pt-PT"/>
        </w:rPr>
        <w:tab/>
        <w:t xml:space="preserve">Directive </w:t>
      </w:r>
      <w:hyperlink r:id="rId224" w:history="1">
        <w:r>
          <w:rPr>
            <w:rStyle w:val="Hyperlink"/>
            <w:lang w:val="pt-PT"/>
          </w:rPr>
          <w:t>2007/60/EC</w:t>
        </w:r>
      </w:hyperlink>
      <w:r>
        <w:rPr>
          <w:lang w:val="pt-PT"/>
        </w:rPr>
        <w:t>.</w:t>
      </w:r>
    </w:p>
  </w:footnote>
  <w:footnote w:id="159">
    <w:p w:rsidR="00E26342" w:rsidRDefault="00040788">
      <w:pPr>
        <w:pStyle w:val="FootnoteText"/>
        <w:rPr>
          <w:lang w:val="pt-PT"/>
        </w:rPr>
      </w:pPr>
      <w:r>
        <w:rPr>
          <w:rStyle w:val="FootnoteReference"/>
        </w:rPr>
        <w:footnoteRef/>
      </w:r>
      <w:r>
        <w:rPr>
          <w:lang w:val="pt-PT"/>
        </w:rPr>
        <w:t xml:space="preserve"> </w:t>
      </w:r>
      <w:r>
        <w:rPr>
          <w:lang w:val="pt-PT"/>
        </w:rPr>
        <w:tab/>
        <w:t xml:space="preserve">Directive </w:t>
      </w:r>
      <w:hyperlink r:id="rId225" w:history="1">
        <w:r>
          <w:rPr>
            <w:rStyle w:val="Hyperlink"/>
            <w:lang w:val="pt-PT"/>
          </w:rPr>
          <w:t>2002/49/EC</w:t>
        </w:r>
      </w:hyperlink>
      <w:r>
        <w:rPr>
          <w:lang w:val="pt-PT"/>
        </w:rPr>
        <w:t xml:space="preserve">; </w:t>
      </w:r>
      <w:hyperlink r:id="rId226" w:history="1">
        <w:r>
          <w:rPr>
            <w:rStyle w:val="Hyperlink"/>
            <w:lang w:val="pt-PT"/>
          </w:rPr>
          <w:t>MEMO/17/1281</w:t>
        </w:r>
      </w:hyperlink>
      <w:r>
        <w:rPr>
          <w:lang w:val="pt-PT"/>
        </w:rPr>
        <w:t>.</w:t>
      </w:r>
    </w:p>
  </w:footnote>
  <w:footnote w:id="160">
    <w:p w:rsidR="00E26342" w:rsidRDefault="00040788">
      <w:pPr>
        <w:pStyle w:val="FootnoteText"/>
        <w:rPr>
          <w:lang w:val="pt-PT"/>
        </w:rPr>
      </w:pPr>
      <w:r>
        <w:rPr>
          <w:rStyle w:val="FootnoteReference"/>
        </w:rPr>
        <w:footnoteRef/>
      </w:r>
      <w:r>
        <w:rPr>
          <w:lang w:val="pt-PT"/>
        </w:rPr>
        <w:t xml:space="preserve"> </w:t>
      </w:r>
      <w:r>
        <w:rPr>
          <w:lang w:val="pt-PT"/>
        </w:rPr>
        <w:tab/>
        <w:t>Direct</w:t>
      </w:r>
      <w:r>
        <w:rPr>
          <w:lang w:val="pt-PT"/>
        </w:rPr>
        <w:t xml:space="preserve">ive </w:t>
      </w:r>
      <w:hyperlink r:id="rId227" w:history="1">
        <w:r>
          <w:rPr>
            <w:rStyle w:val="Hyperlink"/>
            <w:lang w:val="pt-PT"/>
          </w:rPr>
          <w:t>2011/70/Euratom</w:t>
        </w:r>
      </w:hyperlink>
      <w:r>
        <w:rPr>
          <w:lang w:val="pt-PT"/>
        </w:rPr>
        <w:t xml:space="preserve">, </w:t>
      </w:r>
      <w:hyperlink r:id="rId228" w:history="1">
        <w:r>
          <w:rPr>
            <w:rStyle w:val="Hyperlink"/>
            <w:lang w:val="pt-PT"/>
          </w:rPr>
          <w:t>MEMO/17/1935</w:t>
        </w:r>
      </w:hyperlink>
      <w:r>
        <w:rPr>
          <w:lang w:val="pt-PT"/>
        </w:rPr>
        <w:t>.</w:t>
      </w:r>
    </w:p>
  </w:footnote>
  <w:footnote w:id="161">
    <w:p w:rsidR="00E26342" w:rsidRDefault="00040788">
      <w:pPr>
        <w:pStyle w:val="FootnoteText"/>
        <w:rPr>
          <w:lang w:val="pt-PT"/>
        </w:rPr>
      </w:pPr>
      <w:r>
        <w:rPr>
          <w:rStyle w:val="FootnoteReference"/>
        </w:rPr>
        <w:footnoteRef/>
      </w:r>
      <w:r>
        <w:rPr>
          <w:lang w:val="pt-PT"/>
        </w:rPr>
        <w:t xml:space="preserve"> </w:t>
      </w:r>
      <w:r>
        <w:rPr>
          <w:lang w:val="pt-PT"/>
        </w:rPr>
        <w:tab/>
        <w:t xml:space="preserve">Directive </w:t>
      </w:r>
      <w:hyperlink r:id="rId229" w:history="1">
        <w:r>
          <w:rPr>
            <w:rStyle w:val="Hyperlink"/>
            <w:lang w:val="pt-PT"/>
          </w:rPr>
          <w:t>2014/68/EU</w:t>
        </w:r>
      </w:hyperlink>
      <w:r>
        <w:rPr>
          <w:lang w:val="pt-PT"/>
        </w:rPr>
        <w:t xml:space="preserve">; </w:t>
      </w:r>
      <w:hyperlink r:id="rId230" w:history="1">
        <w:r>
          <w:rPr>
            <w:rStyle w:val="Hyperlink"/>
            <w:lang w:val="pt-PT"/>
          </w:rPr>
          <w:t>MEMO/17/1936</w:t>
        </w:r>
      </w:hyperlink>
      <w:r>
        <w:rPr>
          <w:lang w:val="pt-PT"/>
        </w:rPr>
        <w:t>.</w:t>
      </w:r>
    </w:p>
  </w:footnote>
  <w:footnote w:id="162">
    <w:p w:rsidR="00E26342" w:rsidRDefault="00040788">
      <w:pPr>
        <w:pStyle w:val="FootnoteText"/>
        <w:rPr>
          <w:lang w:val="pt-PT"/>
        </w:rPr>
      </w:pPr>
      <w:r>
        <w:rPr>
          <w:rStyle w:val="FootnoteReference"/>
        </w:rPr>
        <w:footnoteRef/>
      </w:r>
      <w:r>
        <w:rPr>
          <w:lang w:val="pt-PT"/>
        </w:rPr>
        <w:t xml:space="preserve"> </w:t>
      </w:r>
      <w:r>
        <w:rPr>
          <w:lang w:val="pt-PT"/>
        </w:rPr>
        <w:tab/>
        <w:t xml:space="preserve">Directive </w:t>
      </w:r>
      <w:hyperlink r:id="rId231" w:history="1">
        <w:r>
          <w:rPr>
            <w:rStyle w:val="Hyperlink"/>
            <w:lang w:val="pt-PT"/>
          </w:rPr>
          <w:t>2011/7/EU</w:t>
        </w:r>
      </w:hyperlink>
      <w:r>
        <w:rPr>
          <w:lang w:val="pt-PT"/>
        </w:rPr>
        <w:t xml:space="preserve">;  </w:t>
      </w:r>
      <w:hyperlink r:id="rId232" w:history="1">
        <w:r>
          <w:rPr>
            <w:rStyle w:val="Hyperlink"/>
            <w:lang w:val="pt-PT"/>
          </w:rPr>
          <w:t>MEMO/17/3494</w:t>
        </w:r>
      </w:hyperlink>
      <w:r>
        <w:rPr>
          <w:lang w:val="pt-PT"/>
        </w:rPr>
        <w:t>.</w:t>
      </w:r>
    </w:p>
  </w:footnote>
  <w:footnote w:id="163">
    <w:p w:rsidR="00E26342" w:rsidRDefault="00040788">
      <w:pPr>
        <w:pStyle w:val="FootnoteText"/>
        <w:rPr>
          <w:lang w:val="pt-PT"/>
        </w:rPr>
      </w:pPr>
      <w:r>
        <w:rPr>
          <w:rStyle w:val="FootnoteReference"/>
        </w:rPr>
        <w:footnoteRef/>
      </w:r>
      <w:r>
        <w:rPr>
          <w:lang w:val="pt-PT"/>
        </w:rPr>
        <w:t xml:space="preserve"> </w:t>
      </w:r>
      <w:r>
        <w:rPr>
          <w:lang w:val="pt-PT"/>
        </w:rPr>
        <w:tab/>
      </w:r>
      <w:hyperlink r:id="rId233" w:history="1">
        <w:r>
          <w:rPr>
            <w:rStyle w:val="Hyperlink"/>
            <w:lang w:val="pt-PT"/>
          </w:rPr>
          <w:t>MEMO/17/4767</w:t>
        </w:r>
      </w:hyperlink>
      <w:r>
        <w:rPr>
          <w:lang w:val="pt-PT"/>
        </w:rPr>
        <w:t>.</w:t>
      </w:r>
    </w:p>
  </w:footnote>
  <w:footnote w:id="164">
    <w:p w:rsidR="00E26342" w:rsidRDefault="00040788">
      <w:pPr>
        <w:pStyle w:val="FootnoteText"/>
        <w:rPr>
          <w:lang w:val="pt-PT"/>
        </w:rPr>
      </w:pPr>
      <w:r>
        <w:rPr>
          <w:rStyle w:val="FootnoteReference"/>
        </w:rPr>
        <w:footnoteRef/>
      </w:r>
      <w:r>
        <w:rPr>
          <w:lang w:val="pt-PT"/>
        </w:rPr>
        <w:t xml:space="preserve"> </w:t>
      </w:r>
      <w:r>
        <w:rPr>
          <w:lang w:val="pt-PT"/>
        </w:rPr>
        <w:tab/>
        <w:t xml:space="preserve">Directive </w:t>
      </w:r>
      <w:hyperlink r:id="rId234" w:history="1">
        <w:r>
          <w:rPr>
            <w:rStyle w:val="Hyperlink"/>
            <w:lang w:val="pt-PT"/>
          </w:rPr>
          <w:t>2006/126/EC</w:t>
        </w:r>
      </w:hyperlink>
      <w:r>
        <w:rPr>
          <w:lang w:val="pt-PT"/>
        </w:rPr>
        <w:t xml:space="preserve">, Commission v Portugal, </w:t>
      </w:r>
      <w:hyperlink r:id="rId235" w:history="1">
        <w:r>
          <w:rPr>
            <w:rStyle w:val="Hyperlink"/>
            <w:lang w:val="pt-PT"/>
          </w:rPr>
          <w:t>C-170/17</w:t>
        </w:r>
      </w:hyperlink>
      <w:r>
        <w:rPr>
          <w:lang w:val="pt-PT"/>
        </w:rPr>
        <w:t xml:space="preserve">, </w:t>
      </w:r>
      <w:hyperlink r:id="rId236" w:history="1">
        <w:r>
          <w:rPr>
            <w:rStyle w:val="Hyperlink"/>
            <w:lang w:val="pt-PT"/>
          </w:rPr>
          <w:t>IP/17/241</w:t>
        </w:r>
      </w:hyperlink>
      <w:r>
        <w:rPr>
          <w:lang w:val="pt-PT"/>
        </w:rPr>
        <w:t>.</w:t>
      </w:r>
    </w:p>
  </w:footnote>
  <w:footnote w:id="165">
    <w:p w:rsidR="00E26342" w:rsidRDefault="00040788">
      <w:pPr>
        <w:pStyle w:val="FootnoteText"/>
        <w:rPr>
          <w:lang w:val="pt-PT"/>
        </w:rPr>
      </w:pPr>
      <w:r>
        <w:rPr>
          <w:rStyle w:val="FootnoteReference"/>
        </w:rPr>
        <w:footnoteRef/>
      </w:r>
      <w:r>
        <w:rPr>
          <w:lang w:val="pt-PT"/>
        </w:rPr>
        <w:t xml:space="preserve"> </w:t>
      </w:r>
      <w:r>
        <w:rPr>
          <w:lang w:val="pt-PT"/>
        </w:rPr>
        <w:tab/>
        <w:t xml:space="preserve">Directive </w:t>
      </w:r>
      <w:hyperlink r:id="rId237" w:history="1">
        <w:r>
          <w:rPr>
            <w:rStyle w:val="Hyperlink"/>
            <w:lang w:val="pt-PT"/>
          </w:rPr>
          <w:t>2009/15/EC</w:t>
        </w:r>
      </w:hyperlink>
      <w:r>
        <w:rPr>
          <w:lang w:val="pt-PT"/>
        </w:rPr>
        <w:t xml:space="preserve">, Commission v Portugal, </w:t>
      </w:r>
      <w:hyperlink r:id="rId238" w:history="1">
        <w:r>
          <w:rPr>
            <w:rStyle w:val="Hyperlink"/>
            <w:lang w:val="pt-PT"/>
          </w:rPr>
          <w:t>C-383/17</w:t>
        </w:r>
      </w:hyperlink>
      <w:r>
        <w:rPr>
          <w:lang w:val="pt-PT"/>
        </w:rPr>
        <w:t xml:space="preserve">, </w:t>
      </w:r>
      <w:hyperlink r:id="rId239" w:history="1">
        <w:r>
          <w:rPr>
            <w:rStyle w:val="Hyperlink"/>
            <w:lang w:val="pt-PT"/>
          </w:rPr>
          <w:t>IP/17/1052</w:t>
        </w:r>
      </w:hyperlink>
      <w:r>
        <w:rPr>
          <w:lang w:val="pt-PT"/>
        </w:rPr>
        <w:t>.</w:t>
      </w:r>
    </w:p>
  </w:footnote>
  <w:footnote w:id="166">
    <w:p w:rsidR="00E26342" w:rsidRDefault="00040788">
      <w:pPr>
        <w:pStyle w:val="FootnoteText"/>
        <w:rPr>
          <w:lang w:val="pt-PT"/>
        </w:rPr>
      </w:pPr>
      <w:r>
        <w:rPr>
          <w:rStyle w:val="FootnoteReference"/>
        </w:rPr>
        <w:footnoteRef/>
      </w:r>
      <w:r>
        <w:rPr>
          <w:lang w:val="pt-PT"/>
        </w:rPr>
        <w:t xml:space="preserve"> </w:t>
      </w:r>
      <w:r>
        <w:rPr>
          <w:lang w:val="pt-PT"/>
        </w:rPr>
        <w:tab/>
        <w:t xml:space="preserve">Directive </w:t>
      </w:r>
      <w:hyperlink r:id="rId240" w:history="1">
        <w:r>
          <w:rPr>
            <w:rStyle w:val="Hyperlink"/>
            <w:lang w:val="pt-PT"/>
          </w:rPr>
          <w:t>2009/21/EC</w:t>
        </w:r>
      </w:hyperlink>
      <w:r>
        <w:rPr>
          <w:lang w:val="pt-PT"/>
        </w:rPr>
        <w:t xml:space="preserve">, Commission v Portugal, </w:t>
      </w:r>
      <w:hyperlink r:id="rId241" w:history="1">
        <w:r>
          <w:rPr>
            <w:rStyle w:val="Hyperlink"/>
            <w:lang w:val="pt-PT"/>
          </w:rPr>
          <w:t>C-382/17</w:t>
        </w:r>
      </w:hyperlink>
      <w:r>
        <w:rPr>
          <w:lang w:val="pt-PT"/>
        </w:rPr>
        <w:t xml:space="preserve">, </w:t>
      </w:r>
      <w:hyperlink r:id="rId242" w:history="1">
        <w:r>
          <w:rPr>
            <w:rStyle w:val="Hyperlink"/>
            <w:lang w:val="pt-PT"/>
          </w:rPr>
          <w:t>IP/17/1052</w:t>
        </w:r>
      </w:hyperlink>
      <w:r>
        <w:rPr>
          <w:lang w:val="pt-PT"/>
        </w:rPr>
        <w:t>.</w:t>
      </w:r>
    </w:p>
  </w:footnote>
  <w:footnote w:id="167">
    <w:p w:rsidR="00E26342" w:rsidRDefault="00040788">
      <w:pPr>
        <w:pStyle w:val="FootnoteText"/>
        <w:rPr>
          <w:rFonts w:cs="Arial"/>
          <w:lang w:val="pt-PT"/>
        </w:rPr>
      </w:pPr>
      <w:r>
        <w:rPr>
          <w:rStyle w:val="FootnoteReference"/>
          <w:rFonts w:cs="Arial"/>
        </w:rPr>
        <w:footnoteRef/>
      </w:r>
      <w:r>
        <w:rPr>
          <w:rFonts w:cs="Arial"/>
          <w:lang w:val="pt-PT"/>
        </w:rPr>
        <w:t xml:space="preserve"> </w:t>
      </w:r>
      <w:r>
        <w:rPr>
          <w:rFonts w:cs="Arial"/>
          <w:lang w:val="pt-PT"/>
        </w:rPr>
        <w:tab/>
        <w:t xml:space="preserve">Directive (EU) </w:t>
      </w:r>
      <w:hyperlink r:id="rId243" w:history="1">
        <w:r>
          <w:rPr>
            <w:rStyle w:val="Hyperlink"/>
            <w:rFonts w:cs="Arial"/>
            <w:lang w:val="pt-PT"/>
          </w:rPr>
          <w:t>2015/2203</w:t>
        </w:r>
      </w:hyperlink>
      <w:r>
        <w:rPr>
          <w:rFonts w:cs="Arial"/>
          <w:lang w:val="pt-PT"/>
        </w:rPr>
        <w:t>.</w:t>
      </w:r>
    </w:p>
  </w:footnote>
  <w:footnote w:id="168">
    <w:p w:rsidR="00E26342" w:rsidRDefault="00040788">
      <w:pPr>
        <w:pStyle w:val="FootnoteText"/>
        <w:rPr>
          <w:rFonts w:cs="Arial"/>
          <w:lang w:val="pt-PT"/>
        </w:rPr>
      </w:pPr>
      <w:r>
        <w:rPr>
          <w:rStyle w:val="FootnoteReference"/>
          <w:rFonts w:cs="Arial"/>
        </w:rPr>
        <w:footnoteRef/>
      </w:r>
      <w:r>
        <w:rPr>
          <w:rFonts w:cs="Arial"/>
          <w:lang w:val="pt-PT"/>
        </w:rPr>
        <w:t xml:space="preserve"> </w:t>
      </w:r>
      <w:r>
        <w:rPr>
          <w:rFonts w:cs="Arial"/>
          <w:lang w:val="pt-PT"/>
        </w:rPr>
        <w:tab/>
        <w:t xml:space="preserve">Directive </w:t>
      </w:r>
      <w:hyperlink r:id="rId244" w:history="1">
        <w:r>
          <w:rPr>
            <w:rStyle w:val="Hyperlink"/>
            <w:rFonts w:cs="Arial"/>
            <w:lang w:val="pt-PT"/>
          </w:rPr>
          <w:t>2011/95/EU</w:t>
        </w:r>
      </w:hyperlink>
      <w:r>
        <w:rPr>
          <w:rFonts w:cs="Arial"/>
          <w:lang w:val="pt-PT"/>
        </w:rPr>
        <w:t>.</w:t>
      </w:r>
    </w:p>
  </w:footnote>
  <w:footnote w:id="169">
    <w:p w:rsidR="00E26342" w:rsidRDefault="00040788">
      <w:pPr>
        <w:pStyle w:val="FootnoteText"/>
        <w:rPr>
          <w:rFonts w:cs="Arial"/>
          <w:lang w:val="pt-PT"/>
        </w:rPr>
      </w:pPr>
      <w:r>
        <w:rPr>
          <w:rStyle w:val="FootnoteReference"/>
          <w:rFonts w:cs="Arial"/>
        </w:rPr>
        <w:footnoteRef/>
      </w:r>
      <w:r>
        <w:rPr>
          <w:rFonts w:cs="Arial"/>
          <w:lang w:val="pt-PT"/>
        </w:rPr>
        <w:t xml:space="preserve"> </w:t>
      </w:r>
      <w:r>
        <w:rPr>
          <w:rFonts w:cs="Arial"/>
          <w:lang w:val="pt-PT"/>
        </w:rPr>
        <w:tab/>
        <w:t xml:space="preserve">Directive </w:t>
      </w:r>
      <w:hyperlink r:id="rId245" w:history="1">
        <w:r>
          <w:rPr>
            <w:rStyle w:val="Hyperlink"/>
            <w:rFonts w:cs="Arial"/>
            <w:lang w:val="pt-PT"/>
          </w:rPr>
          <w:t>2013/55/EU</w:t>
        </w:r>
      </w:hyperlink>
      <w:r>
        <w:rPr>
          <w:rFonts w:cs="Arial"/>
          <w:lang w:val="pt-PT"/>
        </w:rPr>
        <w:t>.</w:t>
      </w:r>
    </w:p>
  </w:footnote>
  <w:footnote w:id="170">
    <w:p w:rsidR="00E26342" w:rsidRDefault="00040788">
      <w:pPr>
        <w:pStyle w:val="FootnoteText"/>
        <w:rPr>
          <w:rFonts w:cs="Arial"/>
          <w:lang w:val="pt-PT"/>
        </w:rPr>
      </w:pPr>
      <w:r>
        <w:rPr>
          <w:rStyle w:val="FootnoteReference"/>
          <w:rFonts w:cs="Arial"/>
        </w:rPr>
        <w:footnoteRef/>
      </w:r>
      <w:r>
        <w:rPr>
          <w:rFonts w:cs="Arial"/>
          <w:lang w:val="pt-PT"/>
        </w:rPr>
        <w:t xml:space="preserve"> </w:t>
      </w:r>
      <w:r>
        <w:rPr>
          <w:rFonts w:cs="Arial"/>
          <w:lang w:val="pt-PT"/>
        </w:rPr>
        <w:tab/>
        <w:t xml:space="preserve">Directive (EU) </w:t>
      </w:r>
      <w:hyperlink r:id="rId246" w:history="1">
        <w:r>
          <w:rPr>
            <w:rStyle w:val="Hyperlink"/>
            <w:rFonts w:cs="Arial"/>
            <w:lang w:val="pt-PT"/>
          </w:rPr>
          <w:t>2015/652</w:t>
        </w:r>
      </w:hyperlink>
      <w:r>
        <w:rPr>
          <w:rFonts w:cs="Arial"/>
          <w:lang w:val="pt-PT"/>
        </w:rPr>
        <w:t>.</w:t>
      </w:r>
    </w:p>
  </w:footnote>
  <w:footnote w:id="171">
    <w:p w:rsidR="00E26342" w:rsidRDefault="00040788">
      <w:pPr>
        <w:pStyle w:val="FootnoteText"/>
        <w:rPr>
          <w:rFonts w:cs="Arial"/>
          <w:lang w:val="pt-PT"/>
        </w:rPr>
      </w:pPr>
      <w:r>
        <w:rPr>
          <w:rStyle w:val="FootnoteReference"/>
          <w:rFonts w:cs="Arial"/>
        </w:rPr>
        <w:footnoteRef/>
      </w:r>
      <w:r>
        <w:rPr>
          <w:rFonts w:cs="Arial"/>
          <w:lang w:val="pt-PT"/>
        </w:rPr>
        <w:t xml:space="preserve"> </w:t>
      </w:r>
      <w:r>
        <w:rPr>
          <w:rFonts w:cs="Arial"/>
          <w:lang w:val="pt-PT"/>
        </w:rPr>
        <w:tab/>
        <w:t xml:space="preserve">Directive </w:t>
      </w:r>
      <w:hyperlink r:id="rId247" w:history="1">
        <w:r>
          <w:rPr>
            <w:rStyle w:val="Hyperlink"/>
            <w:rFonts w:cs="Arial"/>
            <w:lang w:val="pt-PT"/>
          </w:rPr>
          <w:t>98/70/EC</w:t>
        </w:r>
      </w:hyperlink>
      <w:r>
        <w:rPr>
          <w:rFonts w:cs="Arial"/>
          <w:lang w:val="pt-PT"/>
        </w:rPr>
        <w:t>.</w:t>
      </w:r>
    </w:p>
  </w:footnote>
  <w:footnote w:id="172">
    <w:p w:rsidR="00E26342" w:rsidRDefault="00040788">
      <w:pPr>
        <w:pStyle w:val="FootnoteText"/>
        <w:rPr>
          <w:rFonts w:cs="Arial"/>
          <w:lang w:val="pt-PT"/>
        </w:rPr>
      </w:pPr>
      <w:r>
        <w:rPr>
          <w:rStyle w:val="FootnoteReference"/>
          <w:rFonts w:cs="Arial"/>
        </w:rPr>
        <w:footnoteRef/>
      </w:r>
      <w:r>
        <w:rPr>
          <w:rFonts w:cs="Arial"/>
          <w:lang w:val="pt-PT"/>
        </w:rPr>
        <w:t xml:space="preserve"> </w:t>
      </w:r>
      <w:r>
        <w:rPr>
          <w:rFonts w:cs="Arial"/>
          <w:lang w:val="pt-PT"/>
        </w:rPr>
        <w:tab/>
        <w:t xml:space="preserve">Directive </w:t>
      </w:r>
      <w:hyperlink r:id="rId248" w:history="1">
        <w:r>
          <w:rPr>
            <w:rStyle w:val="Hyperlink"/>
            <w:rFonts w:cs="Arial"/>
            <w:lang w:val="pt-PT"/>
          </w:rPr>
          <w:t>2014/29/EU</w:t>
        </w:r>
      </w:hyperlink>
      <w:r>
        <w:rPr>
          <w:rFonts w:cs="Arial"/>
          <w:lang w:val="pt-PT"/>
        </w:rPr>
        <w:t>.</w:t>
      </w:r>
    </w:p>
  </w:footnote>
  <w:footnote w:id="173">
    <w:p w:rsidR="00E26342" w:rsidRDefault="00040788">
      <w:pPr>
        <w:pStyle w:val="FootnoteText"/>
        <w:rPr>
          <w:rFonts w:cs="Arial"/>
          <w:lang w:val="pt-PT"/>
        </w:rPr>
      </w:pPr>
      <w:r>
        <w:rPr>
          <w:rStyle w:val="FootnoteReference"/>
          <w:rFonts w:cs="Arial"/>
        </w:rPr>
        <w:footnoteRef/>
      </w:r>
      <w:r>
        <w:rPr>
          <w:rFonts w:cs="Arial"/>
          <w:lang w:val="pt-PT"/>
        </w:rPr>
        <w:t xml:space="preserve"> </w:t>
      </w:r>
      <w:r>
        <w:rPr>
          <w:rFonts w:cs="Arial"/>
          <w:lang w:val="pt-PT"/>
        </w:rPr>
        <w:tab/>
        <w:t xml:space="preserve">Directive </w:t>
      </w:r>
      <w:hyperlink r:id="rId249" w:history="1">
        <w:r>
          <w:rPr>
            <w:rStyle w:val="Hyperlink"/>
            <w:rFonts w:cs="Arial"/>
            <w:lang w:val="pt-PT"/>
          </w:rPr>
          <w:t>2014/33/EU</w:t>
        </w:r>
      </w:hyperlink>
      <w:r>
        <w:rPr>
          <w:rFonts w:cs="Arial"/>
          <w:color w:val="000000"/>
          <w:lang w:val="pt-PT"/>
        </w:rPr>
        <w:t>.</w:t>
      </w:r>
    </w:p>
  </w:footnote>
  <w:footnote w:id="174">
    <w:p w:rsidR="00E26342" w:rsidRDefault="00040788">
      <w:pPr>
        <w:pStyle w:val="FootnoteText"/>
        <w:rPr>
          <w:rFonts w:cs="Arial"/>
          <w:lang w:val="pt-PT"/>
        </w:rPr>
      </w:pPr>
      <w:r>
        <w:rPr>
          <w:rStyle w:val="FootnoteReference"/>
          <w:rFonts w:cs="Arial"/>
        </w:rPr>
        <w:footnoteRef/>
      </w:r>
      <w:r>
        <w:rPr>
          <w:rFonts w:cs="Arial"/>
          <w:lang w:val="pt-PT"/>
        </w:rPr>
        <w:t xml:space="preserve"> </w:t>
      </w:r>
      <w:r>
        <w:rPr>
          <w:rFonts w:cs="Arial"/>
          <w:lang w:val="pt-PT"/>
        </w:rPr>
        <w:tab/>
        <w:t xml:space="preserve">Directive </w:t>
      </w:r>
      <w:hyperlink r:id="rId250" w:history="1">
        <w:r>
          <w:rPr>
            <w:rStyle w:val="Hyperlink"/>
            <w:rFonts w:cs="Arial"/>
            <w:lang w:val="pt-PT"/>
          </w:rPr>
          <w:t>2014/35/EU</w:t>
        </w:r>
      </w:hyperlink>
      <w:r>
        <w:rPr>
          <w:rFonts w:cs="Arial"/>
          <w:lang w:val="pt-PT"/>
        </w:rPr>
        <w:t>.</w:t>
      </w:r>
    </w:p>
  </w:footnote>
  <w:footnote w:id="175">
    <w:p w:rsidR="00E26342" w:rsidRDefault="00040788">
      <w:pPr>
        <w:pStyle w:val="FootnoteText"/>
        <w:rPr>
          <w:rFonts w:cs="Arial"/>
          <w:lang w:val="pt-PT"/>
        </w:rPr>
      </w:pPr>
      <w:r>
        <w:rPr>
          <w:rStyle w:val="FootnoteReference"/>
          <w:rFonts w:cs="Arial"/>
        </w:rPr>
        <w:footnoteRef/>
      </w:r>
      <w:r>
        <w:rPr>
          <w:rFonts w:cs="Arial"/>
          <w:lang w:val="pt-PT"/>
        </w:rPr>
        <w:t xml:space="preserve"> </w:t>
      </w:r>
      <w:r>
        <w:rPr>
          <w:rFonts w:cs="Arial"/>
          <w:lang w:val="pt-PT"/>
        </w:rPr>
        <w:tab/>
        <w:t xml:space="preserve">Directive </w:t>
      </w:r>
      <w:hyperlink r:id="rId251" w:history="1">
        <w:r>
          <w:rPr>
            <w:rStyle w:val="Hyperlink"/>
            <w:rFonts w:cs="Arial"/>
            <w:lang w:val="pt-PT"/>
          </w:rPr>
          <w:t>2014/53/EU</w:t>
        </w:r>
      </w:hyperlink>
      <w:r>
        <w:rPr>
          <w:rFonts w:cs="Arial"/>
          <w:lang w:val="pt-PT"/>
        </w:rPr>
        <w:t>.</w:t>
      </w:r>
    </w:p>
  </w:footnote>
  <w:footnote w:id="176">
    <w:p w:rsidR="00E26342" w:rsidRDefault="00040788">
      <w:pPr>
        <w:pStyle w:val="FootnoteText"/>
        <w:rPr>
          <w:rFonts w:cs="Arial"/>
          <w:lang w:val="pt-PT"/>
        </w:rPr>
      </w:pPr>
      <w:r>
        <w:rPr>
          <w:rStyle w:val="FootnoteReference"/>
          <w:rFonts w:cs="Arial"/>
        </w:rPr>
        <w:footnoteRef/>
      </w:r>
      <w:r>
        <w:rPr>
          <w:rFonts w:cs="Arial"/>
          <w:lang w:val="pt-PT"/>
        </w:rPr>
        <w:t xml:space="preserve"> </w:t>
      </w:r>
      <w:r>
        <w:rPr>
          <w:rFonts w:cs="Arial"/>
          <w:lang w:val="pt-PT"/>
        </w:rPr>
        <w:tab/>
        <w:t xml:space="preserve">Directive </w:t>
      </w:r>
      <w:hyperlink r:id="rId252" w:history="1">
        <w:r>
          <w:rPr>
            <w:rStyle w:val="Hyperlink"/>
            <w:rFonts w:cs="Arial"/>
            <w:lang w:val="pt-PT"/>
          </w:rPr>
          <w:t>2015/2087/EU</w:t>
        </w:r>
      </w:hyperlink>
      <w:r>
        <w:rPr>
          <w:rFonts w:cs="Arial"/>
          <w:lang w:val="pt-PT"/>
        </w:rPr>
        <w:t xml:space="preserve"> amending Directive </w:t>
      </w:r>
      <w:hyperlink r:id="rId253" w:history="1">
        <w:r>
          <w:rPr>
            <w:rStyle w:val="Hyperlink"/>
            <w:rFonts w:cs="Arial"/>
            <w:lang w:val="pt-PT"/>
          </w:rPr>
          <w:t>2000/59/EC</w:t>
        </w:r>
      </w:hyperlink>
      <w:r>
        <w:rPr>
          <w:rFonts w:cs="Arial"/>
          <w:lang w:val="pt-PT"/>
        </w:rPr>
        <w:t>.</w:t>
      </w:r>
    </w:p>
  </w:footnote>
  <w:footnote w:id="177">
    <w:p w:rsidR="00E26342" w:rsidRDefault="00040788">
      <w:pPr>
        <w:pStyle w:val="FootnoteText"/>
        <w:rPr>
          <w:rFonts w:cs="Arial"/>
        </w:rPr>
      </w:pPr>
      <w:r>
        <w:rPr>
          <w:rStyle w:val="FootnoteReference"/>
          <w:rFonts w:cs="Arial"/>
        </w:rPr>
        <w:footnoteRef/>
      </w:r>
      <w:r>
        <w:rPr>
          <w:rFonts w:cs="Arial"/>
        </w:rPr>
        <w:t xml:space="preserve"> </w:t>
      </w:r>
      <w:r>
        <w:rPr>
          <w:rFonts w:cs="Arial"/>
        </w:rPr>
        <w:tab/>
        <w:t xml:space="preserve">Directive </w:t>
      </w:r>
      <w:hyperlink r:id="rId254" w:history="1">
        <w:r>
          <w:rPr>
            <w:rStyle w:val="Hyperlink"/>
            <w:rFonts w:cs="Arial"/>
          </w:rPr>
          <w:t>2014/32/EU</w:t>
        </w:r>
      </w:hyperlink>
      <w:r>
        <w:rPr>
          <w:rFonts w:cs="Arial"/>
        </w:rPr>
        <w:t>.</w:t>
      </w:r>
    </w:p>
  </w:footnote>
  <w:footnote w:id="178">
    <w:p w:rsidR="00E26342" w:rsidRDefault="00040788">
      <w:pPr>
        <w:pStyle w:val="FootnoteText"/>
        <w:rPr>
          <w:rFonts w:cs="Arial"/>
        </w:rPr>
      </w:pPr>
      <w:r>
        <w:rPr>
          <w:rStyle w:val="FootnoteReference"/>
          <w:rFonts w:cs="Arial"/>
        </w:rPr>
        <w:footnoteRef/>
      </w:r>
      <w:r>
        <w:rPr>
          <w:rFonts w:cs="Arial"/>
        </w:rPr>
        <w:t xml:space="preserve"> </w:t>
      </w:r>
      <w:r>
        <w:rPr>
          <w:rFonts w:cs="Arial"/>
        </w:rPr>
        <w:tab/>
        <w:t xml:space="preserve">Directive </w:t>
      </w:r>
      <w:hyperlink r:id="rId255" w:history="1">
        <w:r>
          <w:rPr>
            <w:rStyle w:val="Hyperlink"/>
            <w:rFonts w:cs="Arial"/>
          </w:rPr>
          <w:t>2011/7/EU</w:t>
        </w:r>
      </w:hyperlink>
      <w:r>
        <w:rPr>
          <w:rFonts w:cs="Arial"/>
        </w:rPr>
        <w:t xml:space="preserve">; </w:t>
      </w:r>
      <w:hyperlink r:id="rId256" w:history="1">
        <w:r>
          <w:rPr>
            <w:rStyle w:val="Hyperlink"/>
            <w:rFonts w:cs="Arial"/>
          </w:rPr>
          <w:t>IP/17/239</w:t>
        </w:r>
      </w:hyperlink>
      <w:r>
        <w:rPr>
          <w:rFonts w:cs="Arial"/>
        </w:rPr>
        <w:t>.</w:t>
      </w:r>
    </w:p>
  </w:footnote>
  <w:footnote w:id="179">
    <w:p w:rsidR="00E26342" w:rsidRDefault="00040788">
      <w:pPr>
        <w:pStyle w:val="FootnoteText"/>
      </w:pPr>
      <w:r>
        <w:rPr>
          <w:rStyle w:val="FootnoteReference"/>
        </w:rPr>
        <w:footnoteRef/>
      </w:r>
      <w:r>
        <w:t xml:space="preserve"> </w:t>
      </w:r>
      <w:r>
        <w:tab/>
      </w:r>
      <w:r>
        <w:rPr>
          <w:rFonts w:cs="Arial"/>
        </w:rPr>
        <w:t xml:space="preserve">Directive </w:t>
      </w:r>
      <w:hyperlink r:id="rId257" w:history="1">
        <w:r>
          <w:rPr>
            <w:rStyle w:val="Hyperlink"/>
            <w:rFonts w:cs="Arial"/>
          </w:rPr>
          <w:t>2011/70/Euratom</w:t>
        </w:r>
      </w:hyperlink>
      <w:r>
        <w:rPr>
          <w:rFonts w:cs="Arial"/>
        </w:rPr>
        <w:t>.</w:t>
      </w:r>
    </w:p>
  </w:footnote>
  <w:footnote w:id="180">
    <w:p w:rsidR="00E26342" w:rsidRDefault="00040788">
      <w:pPr>
        <w:pStyle w:val="FootnoteText"/>
        <w:rPr>
          <w:rFonts w:cs="Arial"/>
        </w:rPr>
      </w:pPr>
      <w:r>
        <w:rPr>
          <w:rStyle w:val="FootnoteReference"/>
          <w:rFonts w:cs="Arial"/>
        </w:rPr>
        <w:footnoteRef/>
      </w:r>
      <w:r>
        <w:rPr>
          <w:rFonts w:cs="Arial"/>
        </w:rPr>
        <w:t xml:space="preserve"> </w:t>
      </w:r>
      <w:r>
        <w:rPr>
          <w:rFonts w:cs="Arial"/>
        </w:rPr>
        <w:tab/>
        <w:t xml:space="preserve">Directive </w:t>
      </w:r>
      <w:hyperlink r:id="rId258" w:history="1">
        <w:r>
          <w:rPr>
            <w:rStyle w:val="Hyperlink"/>
          </w:rPr>
          <w:t>2013/51/Euratom</w:t>
        </w:r>
      </w:hyperlink>
      <w:r>
        <w:rPr>
          <w:rStyle w:val="Hyperlink"/>
        </w:rPr>
        <w:t>.</w:t>
      </w:r>
    </w:p>
  </w:footnote>
  <w:footnote w:id="181">
    <w:p w:rsidR="00E26342" w:rsidRDefault="00040788">
      <w:pPr>
        <w:pStyle w:val="FootnoteText"/>
      </w:pPr>
      <w:r>
        <w:rPr>
          <w:rStyle w:val="FootnoteReference"/>
        </w:rPr>
        <w:footnoteRef/>
      </w:r>
      <w:r>
        <w:t xml:space="preserve"> </w:t>
      </w:r>
      <w:r>
        <w:tab/>
      </w:r>
      <w:r>
        <w:rPr>
          <w:rFonts w:cs="Arial"/>
        </w:rPr>
        <w:t>The</w:t>
      </w:r>
      <w:r>
        <w:rPr>
          <w:rFonts w:cs="Arial"/>
        </w:rPr>
        <w:t>se rulings are almost exclusively handed down in infringement procedures.</w:t>
      </w:r>
    </w:p>
  </w:footnote>
  <w:footnote w:id="182">
    <w:p w:rsidR="00E26342" w:rsidRDefault="00E26342">
      <w:pPr>
        <w:pStyle w:val="FootnoteText"/>
      </w:pPr>
    </w:p>
  </w:footnote>
  <w:footnote w:id="183">
    <w:p w:rsidR="00E26342" w:rsidRDefault="00040788">
      <w:pPr>
        <w:pStyle w:val="FootnoteText"/>
        <w:rPr>
          <w:lang w:val="fr-BE"/>
        </w:rPr>
      </w:pPr>
      <w:r>
        <w:rPr>
          <w:rStyle w:val="FootnoteReference"/>
        </w:rPr>
        <w:footnoteRef/>
      </w:r>
      <w:r>
        <w:rPr>
          <w:lang w:val="fr-BE"/>
        </w:rPr>
        <w:t xml:space="preserve"> </w:t>
      </w:r>
      <w:r>
        <w:rPr>
          <w:lang w:val="fr-BE"/>
        </w:rPr>
        <w:tab/>
        <w:t xml:space="preserve">Directive </w:t>
      </w:r>
      <w:hyperlink r:id="rId259" w:history="1">
        <w:r>
          <w:rPr>
            <w:rStyle w:val="Hyperlink"/>
            <w:lang w:val="fr-BE"/>
          </w:rPr>
          <w:t>2006/126/EC</w:t>
        </w:r>
      </w:hyperlink>
      <w:r>
        <w:rPr>
          <w:lang w:val="fr-BE"/>
        </w:rPr>
        <w:t xml:space="preserve">, Commission v Portugal,  </w:t>
      </w:r>
      <w:hyperlink r:id="rId260" w:history="1">
        <w:r>
          <w:rPr>
            <w:rStyle w:val="Hyperlink"/>
            <w:lang w:val="fr-BE"/>
          </w:rPr>
          <w:t>C-665/15</w:t>
        </w:r>
      </w:hyperlink>
      <w:r>
        <w:rPr>
          <w:lang w:val="fr-BE"/>
        </w:rPr>
        <w:t>.</w:t>
      </w:r>
    </w:p>
  </w:footnote>
  <w:footnote w:id="184">
    <w:p w:rsidR="00E26342" w:rsidRDefault="00040788">
      <w:pPr>
        <w:pStyle w:val="FootnoteText"/>
        <w:rPr>
          <w:lang w:val="pt-PT"/>
        </w:rPr>
      </w:pPr>
      <w:r>
        <w:rPr>
          <w:rStyle w:val="FootnoteReference"/>
        </w:rPr>
        <w:footnoteRef/>
      </w:r>
      <w:r>
        <w:rPr>
          <w:lang w:val="pt-PT"/>
        </w:rPr>
        <w:t xml:space="preserve"> </w:t>
      </w:r>
      <w:r>
        <w:rPr>
          <w:lang w:val="pt-PT"/>
        </w:rPr>
        <w:tab/>
        <w:t xml:space="preserve">Directive </w:t>
      </w:r>
      <w:hyperlink r:id="rId261" w:history="1">
        <w:r>
          <w:rPr>
            <w:rStyle w:val="Hyperlink"/>
            <w:lang w:val="pt-PT"/>
          </w:rPr>
          <w:t>2008/118/EC</w:t>
        </w:r>
      </w:hyperlink>
      <w:r>
        <w:rPr>
          <w:lang w:val="pt-PT"/>
        </w:rPr>
        <w:t xml:space="preserve"> and Commission v Portugal, </w:t>
      </w:r>
      <w:hyperlink r:id="rId262" w:history="1">
        <w:r>
          <w:rPr>
            <w:rStyle w:val="Hyperlink"/>
            <w:lang w:val="pt-PT"/>
          </w:rPr>
          <w:t>C-126/15</w:t>
        </w:r>
      </w:hyperlink>
      <w:r>
        <w:rPr>
          <w:lang w:val="pt-PT"/>
        </w:rPr>
        <w:t>.</w:t>
      </w:r>
    </w:p>
  </w:footnote>
  <w:footnote w:id="185">
    <w:p w:rsidR="00E26342" w:rsidRDefault="00040788">
      <w:pPr>
        <w:pStyle w:val="FootnoteText"/>
        <w:rPr>
          <w:lang w:val="pt-PT"/>
        </w:rPr>
      </w:pPr>
      <w:r>
        <w:rPr>
          <w:rStyle w:val="FootnoteReference"/>
        </w:rPr>
        <w:footnoteRef/>
      </w:r>
      <w:r>
        <w:rPr>
          <w:lang w:val="pt-PT"/>
        </w:rPr>
        <w:t xml:space="preserve"> </w:t>
      </w:r>
      <w:r>
        <w:rPr>
          <w:lang w:val="pt-PT"/>
        </w:rPr>
        <w:tab/>
        <w:t xml:space="preserve">Directive </w:t>
      </w:r>
      <w:hyperlink r:id="rId263" w:history="1">
        <w:r>
          <w:rPr>
            <w:rStyle w:val="Hyperlink"/>
            <w:lang w:val="pt-PT"/>
          </w:rPr>
          <w:t>2008/118/EC</w:t>
        </w:r>
      </w:hyperlink>
      <w:r>
        <w:rPr>
          <w:lang w:val="pt-PT"/>
        </w:rPr>
        <w:t>.</w:t>
      </w:r>
    </w:p>
  </w:footnote>
  <w:footnote w:id="186">
    <w:p w:rsidR="00E26342" w:rsidRDefault="00040788">
      <w:pPr>
        <w:pStyle w:val="FootnoteText"/>
        <w:rPr>
          <w:lang w:val="pt-PT"/>
        </w:rPr>
      </w:pPr>
      <w:r>
        <w:rPr>
          <w:rStyle w:val="FootnoteReference"/>
        </w:rPr>
        <w:footnoteRef/>
      </w:r>
      <w:r>
        <w:rPr>
          <w:lang w:val="pt-PT"/>
        </w:rPr>
        <w:t xml:space="preserve"> </w:t>
      </w:r>
      <w:r>
        <w:rPr>
          <w:lang w:val="pt-PT"/>
        </w:rPr>
        <w:tab/>
        <w:t xml:space="preserve">Euro Tyre BV, </w:t>
      </w:r>
      <w:hyperlink r:id="rId264" w:history="1">
        <w:r>
          <w:rPr>
            <w:rStyle w:val="Hyperlink"/>
            <w:lang w:val="pt-PT"/>
          </w:rPr>
          <w:t>C-21/16</w:t>
        </w:r>
      </w:hyperlink>
      <w:r>
        <w:rPr>
          <w:lang w:val="pt-PT"/>
        </w:rPr>
        <w:t>.</w:t>
      </w:r>
    </w:p>
  </w:footnote>
  <w:footnote w:id="187">
    <w:p w:rsidR="00E26342" w:rsidRDefault="00040788">
      <w:pPr>
        <w:pStyle w:val="FootnoteText"/>
        <w:rPr>
          <w:lang w:val="pt-PT"/>
        </w:rPr>
      </w:pPr>
      <w:r>
        <w:rPr>
          <w:rStyle w:val="FootnoteReference"/>
        </w:rPr>
        <w:footnoteRef/>
      </w:r>
      <w:r>
        <w:rPr>
          <w:lang w:val="pt-PT"/>
        </w:rPr>
        <w:t xml:space="preserve"> </w:t>
      </w:r>
      <w:r>
        <w:rPr>
          <w:lang w:val="pt-PT"/>
        </w:rPr>
        <w:tab/>
        <w:t xml:space="preserve">Maio Marques da Rosa, </w:t>
      </w:r>
      <w:hyperlink r:id="rId265" w:history="1">
        <w:r>
          <w:rPr>
            <w:rStyle w:val="Hyperlink"/>
            <w:lang w:val="pt-PT"/>
          </w:rPr>
          <w:t>C-306/16</w:t>
        </w:r>
      </w:hyperlink>
      <w:r>
        <w:rPr>
          <w:lang w:val="pt-PT"/>
        </w:rPr>
        <w:t>.</w:t>
      </w:r>
    </w:p>
  </w:footnote>
  <w:footnote w:id="188">
    <w:p w:rsidR="00E26342" w:rsidRDefault="00040788">
      <w:pPr>
        <w:pStyle w:val="FootnoteText"/>
        <w:rPr>
          <w:lang w:val="pt-PT"/>
        </w:rPr>
      </w:pPr>
      <w:r>
        <w:rPr>
          <w:rStyle w:val="FootnoteReference"/>
        </w:rPr>
        <w:footnoteRef/>
      </w:r>
      <w:r>
        <w:rPr>
          <w:lang w:val="pt-PT"/>
        </w:rPr>
        <w:t xml:space="preserve"> </w:t>
      </w:r>
      <w:r>
        <w:rPr>
          <w:lang w:val="pt-PT"/>
        </w:rPr>
        <w:tab/>
        <w:t xml:space="preserve">Directive </w:t>
      </w:r>
      <w:hyperlink r:id="rId266" w:history="1">
        <w:r>
          <w:rPr>
            <w:rStyle w:val="Hyperlink"/>
            <w:lang w:val="pt-PT"/>
          </w:rPr>
          <w:t>2002/21/EC</w:t>
        </w:r>
      </w:hyperlink>
      <w:r>
        <w:rPr>
          <w:lang w:val="pt-PT"/>
        </w:rPr>
        <w:t xml:space="preserve">, </w:t>
      </w:r>
      <w:hyperlink r:id="rId267" w:history="1">
        <w:r>
          <w:rPr>
            <w:rStyle w:val="Hyperlink"/>
            <w:lang w:val="pt-PT"/>
          </w:rPr>
          <w:t>MEMO/17/3494</w:t>
        </w:r>
      </w:hyperlink>
      <w:r>
        <w:rPr>
          <w:lang w:val="pt-PT"/>
        </w:rPr>
        <w:t>.</w:t>
      </w:r>
    </w:p>
  </w:footnote>
  <w:footnote w:id="189">
    <w:p w:rsidR="00E26342" w:rsidRDefault="00040788">
      <w:pPr>
        <w:pStyle w:val="FootnoteText"/>
        <w:rPr>
          <w:lang w:val="pt-PT"/>
        </w:rPr>
      </w:pPr>
      <w:r>
        <w:rPr>
          <w:rStyle w:val="FootnoteReference"/>
        </w:rPr>
        <w:footnoteRef/>
      </w:r>
      <w:r>
        <w:rPr>
          <w:lang w:val="pt-PT"/>
        </w:rPr>
        <w:t xml:space="preserve"> </w:t>
      </w:r>
      <w:r>
        <w:rPr>
          <w:lang w:val="pt-PT"/>
        </w:rPr>
        <w:tab/>
        <w:t xml:space="preserve">Directive </w:t>
      </w:r>
      <w:hyperlink r:id="rId268" w:history="1">
        <w:r>
          <w:rPr>
            <w:rStyle w:val="Hyperlink"/>
            <w:lang w:val="pt-PT"/>
          </w:rPr>
          <w:t>2014/26/EU</w:t>
        </w:r>
      </w:hyperlink>
      <w:r>
        <w:rPr>
          <w:lang w:val="pt-PT"/>
        </w:rPr>
        <w:t xml:space="preserve">, </w:t>
      </w:r>
      <w:hyperlink r:id="rId269" w:history="1">
        <w:r>
          <w:rPr>
            <w:rStyle w:val="Hyperlink"/>
            <w:lang w:val="pt-PT"/>
          </w:rPr>
          <w:t>MEMO/17/4767</w:t>
        </w:r>
      </w:hyperlink>
      <w:r>
        <w:rPr>
          <w:rStyle w:val="Hyperlink"/>
          <w:lang w:val="pt-PT"/>
        </w:rPr>
        <w:t>.</w:t>
      </w:r>
    </w:p>
  </w:footnote>
  <w:footnote w:id="190">
    <w:p w:rsidR="00E26342" w:rsidRDefault="00040788">
      <w:pPr>
        <w:pStyle w:val="FootnoteText"/>
        <w:rPr>
          <w:lang w:val="pt-PT"/>
        </w:rPr>
      </w:pPr>
      <w:r>
        <w:rPr>
          <w:rStyle w:val="FootnoteReference"/>
        </w:rPr>
        <w:footnoteRef/>
      </w:r>
      <w:r>
        <w:rPr>
          <w:lang w:val="pt-PT"/>
        </w:rPr>
        <w:t xml:space="preserve"> </w:t>
      </w:r>
      <w:r>
        <w:rPr>
          <w:lang w:val="pt-PT"/>
        </w:rPr>
        <w:tab/>
        <w:t xml:space="preserve">Directives </w:t>
      </w:r>
      <w:hyperlink r:id="rId270" w:history="1">
        <w:r>
          <w:rPr>
            <w:rStyle w:val="Hyperlink"/>
            <w:lang w:val="pt-PT"/>
          </w:rPr>
          <w:t>2004/114/EC</w:t>
        </w:r>
      </w:hyperlink>
      <w:r>
        <w:rPr>
          <w:lang w:val="pt-PT"/>
        </w:rPr>
        <w:t xml:space="preserve">, </w:t>
      </w:r>
      <w:hyperlink r:id="rId271" w:history="1">
        <w:r>
          <w:rPr>
            <w:rStyle w:val="Hyperlink"/>
            <w:lang w:val="pt-PT"/>
          </w:rPr>
          <w:t>2005/71/EC</w:t>
        </w:r>
      </w:hyperlink>
      <w:r>
        <w:rPr>
          <w:lang w:val="pt-PT"/>
        </w:rPr>
        <w:t xml:space="preserve">, </w:t>
      </w:r>
      <w:hyperlink r:id="rId272" w:history="1">
        <w:r>
          <w:rPr>
            <w:rStyle w:val="Hyperlink"/>
            <w:lang w:val="pt-PT"/>
          </w:rPr>
          <w:t>2009/50/EC</w:t>
        </w:r>
      </w:hyperlink>
      <w:r>
        <w:rPr>
          <w:lang w:val="pt-PT"/>
        </w:rPr>
        <w:t xml:space="preserve">, </w:t>
      </w:r>
      <w:hyperlink r:id="rId273" w:history="1">
        <w:r>
          <w:rPr>
            <w:rStyle w:val="Hyperlink"/>
            <w:lang w:val="pt-PT"/>
          </w:rPr>
          <w:t>2011/98/EU</w:t>
        </w:r>
      </w:hyperlink>
      <w:r>
        <w:rPr>
          <w:lang w:val="pt-PT"/>
        </w:rPr>
        <w:t xml:space="preserve">, </w:t>
      </w:r>
      <w:hyperlink r:id="rId274" w:history="1">
        <w:r>
          <w:rPr>
            <w:rStyle w:val="Hyperlink"/>
            <w:lang w:val="pt-PT"/>
          </w:rPr>
          <w:t>2003/109/EC</w:t>
        </w:r>
      </w:hyperlink>
      <w:r>
        <w:rPr>
          <w:lang w:val="pt-PT"/>
        </w:rPr>
        <w:t xml:space="preserve"> and </w:t>
      </w:r>
      <w:hyperlink r:id="rId275" w:history="1">
        <w:r>
          <w:rPr>
            <w:rStyle w:val="Hyperlink"/>
            <w:lang w:val="pt-PT"/>
          </w:rPr>
          <w:t>2003/86/EC</w:t>
        </w:r>
      </w:hyperlink>
      <w:r>
        <w:rPr>
          <w:lang w:val="pt-PT"/>
        </w:rPr>
        <w:t xml:space="preserve">; </w:t>
      </w:r>
      <w:hyperlink r:id="rId276" w:history="1">
        <w:r>
          <w:rPr>
            <w:rStyle w:val="Hyperlink"/>
            <w:lang w:val="pt-PT"/>
          </w:rPr>
          <w:t>MEMO/17/4767</w:t>
        </w:r>
      </w:hyperlink>
      <w:r>
        <w:rPr>
          <w:lang w:val="pt-PT"/>
        </w:rPr>
        <w:t>.</w:t>
      </w:r>
    </w:p>
  </w:footnote>
  <w:footnote w:id="191">
    <w:p w:rsidR="00E26342" w:rsidRDefault="00040788">
      <w:pPr>
        <w:pStyle w:val="FootnoteText"/>
        <w:rPr>
          <w:lang w:val="pt-PT"/>
        </w:rPr>
      </w:pPr>
      <w:r>
        <w:rPr>
          <w:rStyle w:val="FootnoteReference"/>
        </w:rPr>
        <w:footnoteRef/>
      </w:r>
      <w:r>
        <w:rPr>
          <w:lang w:val="pt-PT"/>
        </w:rPr>
        <w:t xml:space="preserve"> </w:t>
      </w:r>
      <w:r>
        <w:rPr>
          <w:lang w:val="pt-PT"/>
        </w:rPr>
        <w:tab/>
      </w:r>
      <w:hyperlink r:id="rId277" w:history="1">
        <w:r>
          <w:rPr>
            <w:rStyle w:val="Hyperlink"/>
            <w:lang w:val="pt-PT"/>
          </w:rPr>
          <w:t>M</w:t>
        </w:r>
        <w:r>
          <w:rPr>
            <w:rStyle w:val="Hyperlink"/>
            <w:lang w:val="pt-PT"/>
          </w:rPr>
          <w:t>EMO/17/1936</w:t>
        </w:r>
      </w:hyperlink>
      <w:r>
        <w:rPr>
          <w:lang w:val="pt-PT"/>
        </w:rPr>
        <w:t>.</w:t>
      </w:r>
    </w:p>
  </w:footnote>
  <w:footnote w:id="192">
    <w:p w:rsidR="00E26342" w:rsidRDefault="00040788">
      <w:pPr>
        <w:pStyle w:val="FootnoteText"/>
        <w:rPr>
          <w:lang w:val="pt-PT"/>
        </w:rPr>
      </w:pPr>
      <w:r>
        <w:rPr>
          <w:rStyle w:val="FootnoteReference"/>
        </w:rPr>
        <w:footnoteRef/>
      </w:r>
      <w:r>
        <w:rPr>
          <w:lang w:val="pt-PT"/>
        </w:rPr>
        <w:t xml:space="preserve"> </w:t>
      </w:r>
      <w:r>
        <w:rPr>
          <w:lang w:val="pt-PT"/>
        </w:rPr>
        <w:tab/>
      </w:r>
      <w:hyperlink r:id="rId278" w:history="1">
        <w:r>
          <w:rPr>
            <w:rStyle w:val="Hyperlink"/>
            <w:lang w:val="pt-PT"/>
          </w:rPr>
          <w:t>MEMO/17/234.</w:t>
        </w:r>
      </w:hyperlink>
    </w:p>
  </w:footnote>
  <w:footnote w:id="193">
    <w:p w:rsidR="00E26342" w:rsidRDefault="00040788">
      <w:pPr>
        <w:pStyle w:val="FootnoteText"/>
        <w:rPr>
          <w:lang w:val="pt-PT"/>
        </w:rPr>
      </w:pPr>
      <w:r>
        <w:rPr>
          <w:rStyle w:val="FootnoteReference"/>
        </w:rPr>
        <w:footnoteRef/>
      </w:r>
      <w:r>
        <w:rPr>
          <w:lang w:val="pt-PT"/>
        </w:rPr>
        <w:t xml:space="preserve"> </w:t>
      </w:r>
      <w:r>
        <w:rPr>
          <w:lang w:val="pt-PT"/>
        </w:rPr>
        <w:tab/>
      </w:r>
      <w:hyperlink r:id="rId279" w:history="1">
        <w:r>
          <w:rPr>
            <w:rStyle w:val="Hyperlink"/>
            <w:lang w:val="pt-PT"/>
          </w:rPr>
          <w:t>MEMO/17/1281</w:t>
        </w:r>
      </w:hyperlink>
      <w:r>
        <w:rPr>
          <w:lang w:val="pt-PT"/>
        </w:rPr>
        <w:t>.</w:t>
      </w:r>
    </w:p>
  </w:footnote>
  <w:footnote w:id="194">
    <w:p w:rsidR="00E26342" w:rsidRDefault="00040788">
      <w:pPr>
        <w:pStyle w:val="FootnoteText"/>
        <w:rPr>
          <w:lang w:val="pt-PT"/>
        </w:rPr>
      </w:pPr>
      <w:r>
        <w:rPr>
          <w:rStyle w:val="FootnoteReference"/>
        </w:rPr>
        <w:footnoteRef/>
      </w:r>
      <w:r>
        <w:rPr>
          <w:lang w:val="pt-PT"/>
        </w:rPr>
        <w:t xml:space="preserve"> </w:t>
      </w:r>
      <w:r>
        <w:rPr>
          <w:lang w:val="pt-PT"/>
        </w:rPr>
        <w:tab/>
      </w:r>
      <w:hyperlink r:id="rId280" w:history="1">
        <w:r>
          <w:rPr>
            <w:rStyle w:val="Hyperlink"/>
            <w:lang w:val="pt-PT"/>
          </w:rPr>
          <w:t>MEMO/17/1577</w:t>
        </w:r>
      </w:hyperlink>
      <w:r>
        <w:rPr>
          <w:lang w:val="pt-PT"/>
        </w:rPr>
        <w:t>.</w:t>
      </w:r>
    </w:p>
  </w:footnote>
  <w:footnote w:id="195">
    <w:p w:rsidR="00E26342" w:rsidRDefault="00040788">
      <w:pPr>
        <w:pStyle w:val="FootnoteText"/>
        <w:rPr>
          <w:lang w:val="pt-PT"/>
        </w:rPr>
      </w:pPr>
      <w:r>
        <w:rPr>
          <w:rStyle w:val="FootnoteReference"/>
        </w:rPr>
        <w:footnoteRef/>
      </w:r>
      <w:r>
        <w:rPr>
          <w:lang w:val="pt-PT"/>
        </w:rPr>
        <w:t xml:space="preserve"> </w:t>
      </w:r>
      <w:r>
        <w:rPr>
          <w:lang w:val="pt-PT"/>
        </w:rPr>
        <w:tab/>
        <w:t xml:space="preserve">Directive </w:t>
      </w:r>
      <w:hyperlink r:id="rId281" w:history="1">
        <w:r>
          <w:rPr>
            <w:rStyle w:val="Hyperlink"/>
            <w:lang w:val="pt-PT"/>
          </w:rPr>
          <w:t>2008/56/EC</w:t>
        </w:r>
      </w:hyperlink>
      <w:r>
        <w:rPr>
          <w:lang w:val="pt-PT"/>
        </w:rPr>
        <w:t>.</w:t>
      </w:r>
    </w:p>
  </w:footnote>
  <w:footnote w:id="196">
    <w:p w:rsidR="00E26342" w:rsidRDefault="00040788">
      <w:pPr>
        <w:pStyle w:val="FootnoteText"/>
        <w:rPr>
          <w:lang w:val="pt-PT"/>
        </w:rPr>
      </w:pPr>
      <w:r>
        <w:rPr>
          <w:rStyle w:val="FootnoteReference"/>
        </w:rPr>
        <w:footnoteRef/>
      </w:r>
      <w:r>
        <w:rPr>
          <w:lang w:val="pt-PT"/>
        </w:rPr>
        <w:t xml:space="preserve"> </w:t>
      </w:r>
      <w:r>
        <w:rPr>
          <w:lang w:val="pt-PT"/>
        </w:rPr>
        <w:tab/>
        <w:t xml:space="preserve">Directive </w:t>
      </w:r>
      <w:hyperlink r:id="rId282" w:history="1">
        <w:r>
          <w:rPr>
            <w:rStyle w:val="Hyperlink"/>
            <w:lang w:val="pt-PT"/>
          </w:rPr>
          <w:t>2002/49/EC</w:t>
        </w:r>
      </w:hyperlink>
      <w:r>
        <w:rPr>
          <w:lang w:val="pt-PT"/>
        </w:rPr>
        <w:t xml:space="preserve">; </w:t>
      </w:r>
      <w:hyperlink r:id="rId283" w:history="1">
        <w:r>
          <w:rPr>
            <w:rStyle w:val="Hyperlink"/>
            <w:lang w:val="pt-PT"/>
          </w:rPr>
          <w:t>MEMO/17/3494</w:t>
        </w:r>
      </w:hyperlink>
      <w:r>
        <w:rPr>
          <w:lang w:val="pt-PT"/>
        </w:rPr>
        <w:t>.</w:t>
      </w:r>
    </w:p>
  </w:footnote>
  <w:footnote w:id="197">
    <w:p w:rsidR="00E26342" w:rsidRDefault="00040788">
      <w:pPr>
        <w:pStyle w:val="FootnoteText"/>
        <w:rPr>
          <w:lang w:val="pt-PT"/>
        </w:rPr>
      </w:pPr>
      <w:r>
        <w:rPr>
          <w:rStyle w:val="FootnoteReference"/>
        </w:rPr>
        <w:footnoteRef/>
      </w:r>
      <w:r>
        <w:rPr>
          <w:lang w:val="pt-PT"/>
        </w:rPr>
        <w:t xml:space="preserve"> </w:t>
      </w:r>
      <w:r>
        <w:rPr>
          <w:lang w:val="pt-PT"/>
        </w:rPr>
        <w:tab/>
        <w:t xml:space="preserve">Directive </w:t>
      </w:r>
      <w:hyperlink r:id="rId284" w:history="1">
        <w:r>
          <w:rPr>
            <w:rStyle w:val="Hyperlink"/>
            <w:lang w:val="pt-PT"/>
          </w:rPr>
          <w:t>2014/99/EU</w:t>
        </w:r>
      </w:hyperlink>
      <w:r>
        <w:rPr>
          <w:lang w:val="pt-PT"/>
        </w:rPr>
        <w:t xml:space="preserve">, </w:t>
      </w:r>
      <w:hyperlink r:id="rId285" w:history="1">
        <w:r>
          <w:rPr>
            <w:rStyle w:val="Hyperlink"/>
            <w:lang w:val="pt-PT"/>
          </w:rPr>
          <w:t>MEMO/17/3494</w:t>
        </w:r>
      </w:hyperlink>
      <w:r>
        <w:rPr>
          <w:lang w:val="pt-PT"/>
        </w:rPr>
        <w:t>.</w:t>
      </w:r>
    </w:p>
  </w:footnote>
  <w:footnote w:id="198">
    <w:p w:rsidR="00E26342" w:rsidRDefault="00040788">
      <w:pPr>
        <w:pStyle w:val="FootnoteText"/>
        <w:rPr>
          <w:lang w:val="pt-PT"/>
        </w:rPr>
      </w:pPr>
      <w:r>
        <w:rPr>
          <w:rStyle w:val="FootnoteReference"/>
        </w:rPr>
        <w:footnoteRef/>
      </w:r>
      <w:r>
        <w:rPr>
          <w:lang w:val="pt-PT"/>
        </w:rPr>
        <w:t xml:space="preserve"> </w:t>
      </w:r>
      <w:r>
        <w:rPr>
          <w:lang w:val="pt-PT"/>
        </w:rPr>
        <w:tab/>
        <w:t xml:space="preserve">Directive </w:t>
      </w:r>
      <w:hyperlink r:id="rId286" w:history="1">
        <w:r>
          <w:rPr>
            <w:rStyle w:val="Hyperlink"/>
            <w:lang w:val="pt-PT"/>
          </w:rPr>
          <w:t>2012/34/EU</w:t>
        </w:r>
      </w:hyperlink>
      <w:r>
        <w:rPr>
          <w:lang w:val="pt-PT"/>
        </w:rPr>
        <w:t>,</w:t>
      </w:r>
      <w:r>
        <w:rPr>
          <w:lang w:val="pt-PT"/>
        </w:rPr>
        <w:t xml:space="preserve"> </w:t>
      </w:r>
      <w:hyperlink r:id="rId287" w:history="1">
        <w:r>
          <w:rPr>
            <w:rStyle w:val="Hyperlink"/>
            <w:lang w:val="pt-PT"/>
          </w:rPr>
          <w:t>MEMO/17/4767</w:t>
        </w:r>
      </w:hyperlink>
      <w:r>
        <w:rPr>
          <w:lang w:val="pt-PT"/>
        </w:rPr>
        <w:t>.</w:t>
      </w:r>
    </w:p>
  </w:footnote>
  <w:footnote w:id="199">
    <w:p w:rsidR="00E26342" w:rsidRDefault="00040788">
      <w:pPr>
        <w:pStyle w:val="FootnoteText"/>
        <w:rPr>
          <w:lang w:val="pt-PT"/>
        </w:rPr>
      </w:pPr>
      <w:r>
        <w:rPr>
          <w:rStyle w:val="FootnoteReference"/>
        </w:rPr>
        <w:footnoteRef/>
      </w:r>
      <w:r>
        <w:rPr>
          <w:lang w:val="pt-PT"/>
        </w:rPr>
        <w:t xml:space="preserve"> </w:t>
      </w:r>
      <w:r>
        <w:rPr>
          <w:lang w:val="pt-PT"/>
        </w:rPr>
        <w:tab/>
      </w:r>
      <w:hyperlink r:id="rId288" w:history="1">
        <w:r>
          <w:rPr>
            <w:rStyle w:val="Hyperlink"/>
            <w:lang w:val="pt-PT"/>
          </w:rPr>
          <w:t>MEMO/17/234.</w:t>
        </w:r>
      </w:hyperlink>
    </w:p>
  </w:footnote>
  <w:footnote w:id="200">
    <w:p w:rsidR="00E26342" w:rsidRDefault="00040788">
      <w:pPr>
        <w:pStyle w:val="FootnoteText"/>
        <w:rPr>
          <w:lang w:val="pt-PT"/>
        </w:rPr>
      </w:pPr>
      <w:r>
        <w:rPr>
          <w:rStyle w:val="FootnoteReference"/>
        </w:rPr>
        <w:footnoteRef/>
      </w:r>
      <w:r>
        <w:rPr>
          <w:lang w:val="pt-PT"/>
        </w:rPr>
        <w:t xml:space="preserve"> </w:t>
      </w:r>
      <w:r>
        <w:rPr>
          <w:lang w:val="pt-PT"/>
        </w:rPr>
        <w:tab/>
        <w:t xml:space="preserve">Directive (EU) </w:t>
      </w:r>
      <w:hyperlink r:id="rId289" w:history="1">
        <w:r>
          <w:rPr>
            <w:rStyle w:val="Hyperlink"/>
            <w:lang w:val="pt-PT"/>
          </w:rPr>
          <w:t>2015/2203</w:t>
        </w:r>
      </w:hyperlink>
      <w:r>
        <w:rPr>
          <w:lang w:val="pt-PT"/>
        </w:rPr>
        <w:t>.</w:t>
      </w:r>
    </w:p>
  </w:footnote>
  <w:footnote w:id="201">
    <w:p w:rsidR="00E26342" w:rsidRDefault="00040788">
      <w:pPr>
        <w:pStyle w:val="FootnoteText"/>
        <w:rPr>
          <w:lang w:val="pt-PT"/>
        </w:rPr>
      </w:pPr>
      <w:r>
        <w:rPr>
          <w:rStyle w:val="FootnoteReference"/>
        </w:rPr>
        <w:footnoteRef/>
      </w:r>
      <w:r>
        <w:rPr>
          <w:lang w:val="pt-PT"/>
        </w:rPr>
        <w:t xml:space="preserve"> </w:t>
      </w:r>
      <w:r>
        <w:rPr>
          <w:lang w:val="pt-PT"/>
        </w:rPr>
        <w:tab/>
      </w:r>
      <w:hyperlink r:id="rId290" w:history="1">
        <w:r>
          <w:rPr>
            <w:rStyle w:val="Hyperlink"/>
            <w:lang w:val="pt-PT"/>
          </w:rPr>
          <w:t>MEMO/17/4767</w:t>
        </w:r>
      </w:hyperlink>
      <w:r>
        <w:rPr>
          <w:lang w:val="pt-PT"/>
        </w:rPr>
        <w:t xml:space="preserve">; Directive </w:t>
      </w:r>
      <w:hyperlink r:id="rId291" w:history="1">
        <w:r>
          <w:rPr>
            <w:rStyle w:val="Hyperlink"/>
            <w:lang w:val="pt-PT"/>
          </w:rPr>
          <w:t>201</w:t>
        </w:r>
        <w:r>
          <w:rPr>
            <w:rStyle w:val="Hyperlink"/>
            <w:lang w:val="pt-PT"/>
          </w:rPr>
          <w:t>5/849/EU</w:t>
        </w:r>
      </w:hyperlink>
      <w:r>
        <w:rPr>
          <w:lang w:val="pt-PT"/>
        </w:rPr>
        <w:t>.</w:t>
      </w:r>
    </w:p>
  </w:footnote>
  <w:footnote w:id="202">
    <w:p w:rsidR="00E26342" w:rsidRDefault="00040788">
      <w:pPr>
        <w:pStyle w:val="FootnoteText"/>
        <w:rPr>
          <w:lang w:val="pt-PT"/>
        </w:rPr>
      </w:pPr>
      <w:r>
        <w:rPr>
          <w:rStyle w:val="FootnoteReference"/>
        </w:rPr>
        <w:footnoteRef/>
      </w:r>
      <w:r>
        <w:rPr>
          <w:lang w:val="pt-PT"/>
        </w:rPr>
        <w:t xml:space="preserve"> </w:t>
      </w:r>
      <w:r>
        <w:rPr>
          <w:lang w:val="pt-PT"/>
        </w:rPr>
        <w:tab/>
        <w:t xml:space="preserve">Directives </w:t>
      </w:r>
      <w:hyperlink r:id="rId292" w:history="1">
        <w:r>
          <w:rPr>
            <w:rStyle w:val="Hyperlink"/>
            <w:lang w:val="pt-PT"/>
          </w:rPr>
          <w:t>2016/1034/EU</w:t>
        </w:r>
      </w:hyperlink>
      <w:r>
        <w:rPr>
          <w:lang w:val="pt-PT"/>
        </w:rPr>
        <w:t xml:space="preserve"> and </w:t>
      </w:r>
      <w:hyperlink r:id="rId293" w:history="1">
        <w:r>
          <w:rPr>
            <w:rStyle w:val="Hyperlink"/>
            <w:lang w:val="pt-PT"/>
          </w:rPr>
          <w:t>2014/56/EU</w:t>
        </w:r>
      </w:hyperlink>
      <w:r>
        <w:rPr>
          <w:lang w:val="pt-PT"/>
        </w:rPr>
        <w:t>.</w:t>
      </w:r>
    </w:p>
  </w:footnote>
  <w:footnote w:id="203">
    <w:p w:rsidR="00E26342" w:rsidRDefault="00040788">
      <w:pPr>
        <w:pStyle w:val="FootnoteText"/>
        <w:rPr>
          <w:lang w:val="pt-PT"/>
        </w:rPr>
      </w:pPr>
      <w:r>
        <w:rPr>
          <w:rStyle w:val="FootnoteReference"/>
        </w:rPr>
        <w:footnoteRef/>
      </w:r>
      <w:r>
        <w:rPr>
          <w:lang w:val="pt-PT"/>
        </w:rPr>
        <w:t xml:space="preserve"> </w:t>
      </w:r>
      <w:r>
        <w:rPr>
          <w:lang w:val="pt-PT"/>
        </w:rPr>
        <w:tab/>
        <w:t xml:space="preserve">Directive </w:t>
      </w:r>
      <w:hyperlink r:id="rId294" w:history="1">
        <w:r>
          <w:rPr>
            <w:rStyle w:val="Hyperlink"/>
            <w:lang w:val="pt-PT"/>
          </w:rPr>
          <w:t>2014/92/EU</w:t>
        </w:r>
      </w:hyperlink>
      <w:r>
        <w:rPr>
          <w:lang w:val="pt-PT"/>
        </w:rPr>
        <w:t xml:space="preserve">, </w:t>
      </w:r>
      <w:r>
        <w:rPr>
          <w:rStyle w:val="Hyperlink"/>
          <w:lang w:val="pt-PT"/>
        </w:rPr>
        <w:t>MEMO/17/1577</w:t>
      </w:r>
      <w:r>
        <w:rPr>
          <w:lang w:val="pt-PT"/>
        </w:rPr>
        <w:t>.</w:t>
      </w:r>
    </w:p>
  </w:footnote>
  <w:footnote w:id="204">
    <w:p w:rsidR="00E26342" w:rsidRDefault="00040788">
      <w:pPr>
        <w:pStyle w:val="FootnoteText"/>
        <w:rPr>
          <w:lang w:val="fr-BE"/>
        </w:rPr>
      </w:pPr>
      <w:r>
        <w:rPr>
          <w:rStyle w:val="FootnoteReference"/>
        </w:rPr>
        <w:footnoteRef/>
      </w:r>
      <w:r>
        <w:rPr>
          <w:lang w:val="fr-BE"/>
        </w:rPr>
        <w:t xml:space="preserve"> </w:t>
      </w:r>
      <w:r>
        <w:rPr>
          <w:lang w:val="fr-BE"/>
        </w:rPr>
        <w:tab/>
        <w:t xml:space="preserve">Directive (EU) </w:t>
      </w:r>
      <w:hyperlink r:id="rId295" w:history="1">
        <w:r>
          <w:rPr>
            <w:rStyle w:val="Hyperlink"/>
            <w:lang w:val="fr-BE"/>
          </w:rPr>
          <w:t>2015/652</w:t>
        </w:r>
      </w:hyperlink>
      <w:r>
        <w:rPr>
          <w:lang w:val="fr-BE"/>
        </w:rPr>
        <w:t>.</w:t>
      </w:r>
    </w:p>
  </w:footnote>
  <w:footnote w:id="205">
    <w:p w:rsidR="00E26342" w:rsidRDefault="00040788">
      <w:pPr>
        <w:pStyle w:val="FootnoteText"/>
        <w:rPr>
          <w:lang w:val="fr-BE"/>
        </w:rPr>
      </w:pPr>
      <w:r>
        <w:rPr>
          <w:rStyle w:val="FootnoteReference"/>
        </w:rPr>
        <w:footnoteRef/>
      </w:r>
      <w:r>
        <w:rPr>
          <w:lang w:val="fr-BE"/>
        </w:rPr>
        <w:t xml:space="preserve"> </w:t>
      </w:r>
      <w:r>
        <w:rPr>
          <w:lang w:val="fr-BE"/>
        </w:rPr>
        <w:tab/>
        <w:t xml:space="preserve">Directive </w:t>
      </w:r>
      <w:hyperlink r:id="rId296" w:history="1">
        <w:r>
          <w:rPr>
            <w:rStyle w:val="Hyperlink"/>
            <w:lang w:val="fr-BE"/>
          </w:rPr>
          <w:t>98/70/EC</w:t>
        </w:r>
      </w:hyperlink>
      <w:r>
        <w:rPr>
          <w:lang w:val="fr-BE"/>
        </w:rPr>
        <w:t>.</w:t>
      </w:r>
    </w:p>
  </w:footnote>
  <w:footnote w:id="206">
    <w:p w:rsidR="00E26342" w:rsidRDefault="00040788">
      <w:pPr>
        <w:pStyle w:val="FootnoteText"/>
        <w:rPr>
          <w:lang w:val="fr-BE"/>
        </w:rPr>
      </w:pPr>
      <w:r>
        <w:rPr>
          <w:rStyle w:val="FootnoteReference"/>
        </w:rPr>
        <w:footnoteRef/>
      </w:r>
      <w:r>
        <w:rPr>
          <w:lang w:val="fr-BE"/>
        </w:rPr>
        <w:t xml:space="preserve"> </w:t>
      </w:r>
      <w:r>
        <w:rPr>
          <w:lang w:val="fr-BE"/>
        </w:rPr>
        <w:tab/>
        <w:t xml:space="preserve">Directive </w:t>
      </w:r>
      <w:hyperlink r:id="rId297" w:history="1">
        <w:r>
          <w:rPr>
            <w:rStyle w:val="Hyperlink"/>
            <w:lang w:val="fr-BE"/>
          </w:rPr>
          <w:t>2015/1794/EU</w:t>
        </w:r>
      </w:hyperlink>
      <w:r>
        <w:rPr>
          <w:lang w:val="fr-BE"/>
        </w:rPr>
        <w:t>.</w:t>
      </w:r>
    </w:p>
  </w:footnote>
  <w:footnote w:id="207">
    <w:p w:rsidR="00E26342" w:rsidRDefault="00040788">
      <w:pPr>
        <w:pStyle w:val="FootnoteText"/>
        <w:rPr>
          <w:lang w:val="fr-BE"/>
        </w:rPr>
      </w:pPr>
      <w:r>
        <w:rPr>
          <w:rStyle w:val="FootnoteReference"/>
        </w:rPr>
        <w:footnoteRef/>
      </w:r>
      <w:r>
        <w:rPr>
          <w:lang w:val="fr-BE"/>
        </w:rPr>
        <w:t xml:space="preserve"> </w:t>
      </w:r>
      <w:r>
        <w:rPr>
          <w:lang w:val="fr-BE"/>
        </w:rPr>
        <w:tab/>
        <w:t xml:space="preserve">Directive </w:t>
      </w:r>
      <w:hyperlink r:id="rId298" w:history="1">
        <w:r>
          <w:rPr>
            <w:rStyle w:val="Hyperlink"/>
            <w:lang w:val="fr-BE"/>
          </w:rPr>
          <w:t>2014/112/EU</w:t>
        </w:r>
      </w:hyperlink>
      <w:r>
        <w:rPr>
          <w:lang w:val="fr-BE"/>
        </w:rPr>
        <w:t>.</w:t>
      </w:r>
    </w:p>
  </w:footnote>
  <w:footnote w:id="208">
    <w:p w:rsidR="00E26342" w:rsidRDefault="00040788">
      <w:pPr>
        <w:pStyle w:val="FootnoteText"/>
        <w:rPr>
          <w:lang w:val="fr-BE"/>
        </w:rPr>
      </w:pPr>
      <w:r>
        <w:rPr>
          <w:rStyle w:val="FootnoteReference"/>
        </w:rPr>
        <w:footnoteRef/>
      </w:r>
      <w:r>
        <w:rPr>
          <w:lang w:val="fr-BE"/>
        </w:rPr>
        <w:t xml:space="preserve"> </w:t>
      </w:r>
      <w:r>
        <w:rPr>
          <w:lang w:val="fr-BE"/>
        </w:rPr>
        <w:tab/>
        <w:t xml:space="preserve">Directive </w:t>
      </w:r>
      <w:hyperlink r:id="rId299" w:history="1">
        <w:r>
          <w:rPr>
            <w:rStyle w:val="Hyperlink"/>
            <w:lang w:val="fr-BE"/>
          </w:rPr>
          <w:t>1999/31/EC</w:t>
        </w:r>
      </w:hyperlink>
      <w:r>
        <w:rPr>
          <w:lang w:val="fr-BE"/>
        </w:rPr>
        <w:t xml:space="preserve">, Commission v Romania, </w:t>
      </w:r>
      <w:hyperlink r:id="rId300" w:history="1">
        <w:r>
          <w:rPr>
            <w:rStyle w:val="Hyperlink"/>
            <w:lang w:val="fr-BE"/>
          </w:rPr>
          <w:t>C-301/17</w:t>
        </w:r>
      </w:hyperlink>
      <w:r>
        <w:rPr>
          <w:lang w:val="fr-BE"/>
        </w:rPr>
        <w:t xml:space="preserve">; </w:t>
      </w:r>
      <w:hyperlink r:id="rId301" w:history="1">
        <w:r>
          <w:rPr>
            <w:rStyle w:val="Hyperlink"/>
            <w:lang w:val="fr-BE"/>
          </w:rPr>
          <w:t>IP/17/237</w:t>
        </w:r>
      </w:hyperlink>
      <w:r>
        <w:rPr>
          <w:lang w:val="fr-BE"/>
        </w:rPr>
        <w:t>.</w:t>
      </w:r>
    </w:p>
  </w:footnote>
  <w:footnote w:id="209">
    <w:p w:rsidR="00E26342" w:rsidRDefault="00040788">
      <w:pPr>
        <w:pStyle w:val="FootnoteText"/>
        <w:rPr>
          <w:lang w:val="fr-BE"/>
        </w:rPr>
      </w:pPr>
      <w:r>
        <w:rPr>
          <w:rStyle w:val="FootnoteReference"/>
        </w:rPr>
        <w:footnoteRef/>
      </w:r>
      <w:r>
        <w:rPr>
          <w:lang w:val="fr-BE"/>
        </w:rPr>
        <w:t xml:space="preserve"> </w:t>
      </w:r>
      <w:r>
        <w:rPr>
          <w:lang w:val="fr-BE"/>
        </w:rPr>
        <w:tab/>
        <w:t xml:space="preserve">Directive </w:t>
      </w:r>
      <w:hyperlink r:id="rId302" w:history="1">
        <w:r>
          <w:rPr>
            <w:rStyle w:val="Hyperlink"/>
            <w:lang w:val="fr-BE"/>
          </w:rPr>
          <w:t>2008/56/EC</w:t>
        </w:r>
      </w:hyperlink>
      <w:r>
        <w:rPr>
          <w:lang w:val="fr-BE"/>
        </w:rPr>
        <w:t>.</w:t>
      </w:r>
    </w:p>
  </w:footnote>
  <w:footnote w:id="210">
    <w:p w:rsidR="00E26342" w:rsidRDefault="00040788">
      <w:pPr>
        <w:pStyle w:val="FootnoteText"/>
        <w:rPr>
          <w:lang w:val="fr-BE"/>
        </w:rPr>
      </w:pPr>
      <w:r>
        <w:rPr>
          <w:rStyle w:val="FootnoteReference"/>
        </w:rPr>
        <w:footnoteRef/>
      </w:r>
      <w:r>
        <w:rPr>
          <w:lang w:val="fr-BE"/>
        </w:rPr>
        <w:t xml:space="preserve"> </w:t>
      </w:r>
      <w:r>
        <w:rPr>
          <w:lang w:val="fr-BE"/>
        </w:rPr>
        <w:tab/>
      </w:r>
      <w:hyperlink r:id="rId303" w:history="1">
        <w:r>
          <w:rPr>
            <w:rStyle w:val="Hyperlink"/>
            <w:lang w:val="fr-BE"/>
          </w:rPr>
          <w:t>IP/17/5109</w:t>
        </w:r>
      </w:hyperlink>
      <w:r>
        <w:rPr>
          <w:lang w:val="fr-BE"/>
        </w:rPr>
        <w:t>.</w:t>
      </w:r>
    </w:p>
  </w:footnote>
  <w:footnote w:id="211">
    <w:p w:rsidR="00E26342" w:rsidRDefault="00040788">
      <w:pPr>
        <w:pStyle w:val="FootnoteText"/>
        <w:rPr>
          <w:lang w:val="fr-BE"/>
        </w:rPr>
      </w:pPr>
      <w:r>
        <w:rPr>
          <w:rStyle w:val="FootnoteReference"/>
        </w:rPr>
        <w:footnoteRef/>
      </w:r>
      <w:r>
        <w:rPr>
          <w:lang w:val="fr-BE"/>
        </w:rPr>
        <w:t xml:space="preserve"> </w:t>
      </w:r>
      <w:r>
        <w:rPr>
          <w:lang w:val="fr-BE"/>
        </w:rPr>
        <w:tab/>
        <w:t xml:space="preserve">Directive (EU) </w:t>
      </w:r>
      <w:hyperlink r:id="rId304" w:history="1">
        <w:r>
          <w:rPr>
            <w:rStyle w:val="Hyperlink"/>
            <w:lang w:val="fr-BE"/>
          </w:rPr>
          <w:t>2015/2203</w:t>
        </w:r>
      </w:hyperlink>
      <w:r>
        <w:rPr>
          <w:lang w:val="fr-BE"/>
        </w:rPr>
        <w:t>.</w:t>
      </w:r>
    </w:p>
  </w:footnote>
  <w:footnote w:id="212">
    <w:p w:rsidR="00E26342" w:rsidRDefault="00040788">
      <w:pPr>
        <w:pStyle w:val="FootnoteText"/>
        <w:rPr>
          <w:lang w:val="fr-BE"/>
        </w:rPr>
      </w:pPr>
      <w:r>
        <w:rPr>
          <w:rStyle w:val="FootnoteReference"/>
        </w:rPr>
        <w:footnoteRef/>
      </w:r>
      <w:r>
        <w:rPr>
          <w:lang w:val="fr-BE"/>
        </w:rPr>
        <w:t xml:space="preserve"> </w:t>
      </w:r>
      <w:r>
        <w:rPr>
          <w:lang w:val="fr-BE"/>
        </w:rPr>
        <w:tab/>
        <w:t xml:space="preserve">Directive </w:t>
      </w:r>
      <w:hyperlink r:id="rId305" w:history="1">
        <w:r>
          <w:rPr>
            <w:rStyle w:val="Hyperlink"/>
            <w:lang w:val="fr-BE"/>
          </w:rPr>
          <w:t>2014/36/EU</w:t>
        </w:r>
      </w:hyperlink>
      <w:r>
        <w:rPr>
          <w:lang w:val="fr-BE"/>
        </w:rPr>
        <w:t>.</w:t>
      </w:r>
    </w:p>
  </w:footnote>
  <w:footnote w:id="213">
    <w:p w:rsidR="00E26342" w:rsidRDefault="00040788">
      <w:pPr>
        <w:pStyle w:val="FootnoteText"/>
        <w:rPr>
          <w:lang w:val="fr-BE"/>
        </w:rPr>
      </w:pPr>
      <w:r>
        <w:rPr>
          <w:rStyle w:val="FootnoteReference"/>
        </w:rPr>
        <w:footnoteRef/>
      </w:r>
      <w:r>
        <w:rPr>
          <w:lang w:val="fr-BE"/>
        </w:rPr>
        <w:t xml:space="preserve"> </w:t>
      </w:r>
      <w:r>
        <w:rPr>
          <w:lang w:val="fr-BE"/>
        </w:rPr>
        <w:tab/>
        <w:t xml:space="preserve">Directive </w:t>
      </w:r>
      <w:hyperlink r:id="rId306" w:history="1">
        <w:r>
          <w:rPr>
            <w:rStyle w:val="Hyperlink"/>
            <w:lang w:val="fr-BE"/>
          </w:rPr>
          <w:t>2011/95/EU</w:t>
        </w:r>
      </w:hyperlink>
      <w:r>
        <w:rPr>
          <w:lang w:val="fr-BE"/>
        </w:rPr>
        <w:t>.</w:t>
      </w:r>
    </w:p>
  </w:footnote>
  <w:footnote w:id="214">
    <w:p w:rsidR="00E26342" w:rsidRDefault="00040788">
      <w:pPr>
        <w:pStyle w:val="FootnoteText"/>
        <w:rPr>
          <w:lang w:val="fr-BE"/>
        </w:rPr>
      </w:pPr>
      <w:r>
        <w:rPr>
          <w:rStyle w:val="FootnoteReference"/>
        </w:rPr>
        <w:footnoteRef/>
      </w:r>
      <w:r>
        <w:rPr>
          <w:lang w:val="fr-BE"/>
        </w:rPr>
        <w:t xml:space="preserve"> </w:t>
      </w:r>
      <w:r>
        <w:rPr>
          <w:lang w:val="fr-BE"/>
        </w:rPr>
        <w:tab/>
        <w:t xml:space="preserve">Directive </w:t>
      </w:r>
      <w:hyperlink r:id="rId307" w:history="1">
        <w:r>
          <w:rPr>
            <w:rStyle w:val="Hyperlink"/>
            <w:lang w:val="fr-BE"/>
          </w:rPr>
          <w:t>2014/24/EU</w:t>
        </w:r>
      </w:hyperlink>
      <w:r>
        <w:rPr>
          <w:lang w:val="fr-BE"/>
        </w:rPr>
        <w:t>.</w:t>
      </w:r>
    </w:p>
  </w:footnote>
  <w:footnote w:id="215">
    <w:p w:rsidR="00E26342" w:rsidRDefault="00040788">
      <w:pPr>
        <w:pStyle w:val="FootnoteText"/>
        <w:rPr>
          <w:lang w:val="fr-BE"/>
        </w:rPr>
      </w:pPr>
      <w:r>
        <w:rPr>
          <w:rStyle w:val="FootnoteReference"/>
        </w:rPr>
        <w:footnoteRef/>
      </w:r>
      <w:r>
        <w:rPr>
          <w:lang w:val="fr-BE"/>
        </w:rPr>
        <w:t xml:space="preserve"> </w:t>
      </w:r>
      <w:r>
        <w:rPr>
          <w:lang w:val="fr-BE"/>
        </w:rPr>
        <w:tab/>
        <w:t xml:space="preserve">Directive </w:t>
      </w:r>
      <w:hyperlink r:id="rId308" w:history="1">
        <w:r>
          <w:rPr>
            <w:rStyle w:val="Hyperlink"/>
            <w:lang w:val="fr-BE"/>
          </w:rPr>
          <w:t>2014/23/EU</w:t>
        </w:r>
      </w:hyperlink>
      <w:r>
        <w:rPr>
          <w:lang w:val="fr-BE"/>
        </w:rPr>
        <w:t>.</w:t>
      </w:r>
    </w:p>
  </w:footnote>
  <w:footnote w:id="216">
    <w:p w:rsidR="00E26342" w:rsidRDefault="00040788">
      <w:pPr>
        <w:pStyle w:val="FootnoteText"/>
        <w:rPr>
          <w:lang w:val="fr-BE"/>
        </w:rPr>
      </w:pPr>
      <w:r>
        <w:rPr>
          <w:rStyle w:val="FootnoteReference"/>
        </w:rPr>
        <w:footnoteRef/>
      </w:r>
      <w:r>
        <w:rPr>
          <w:lang w:val="fr-BE"/>
        </w:rPr>
        <w:t xml:space="preserve"> </w:t>
      </w:r>
      <w:r>
        <w:rPr>
          <w:lang w:val="fr-BE"/>
        </w:rPr>
        <w:tab/>
        <w:t xml:space="preserve">Directive </w:t>
      </w:r>
      <w:hyperlink r:id="rId309" w:history="1">
        <w:r>
          <w:rPr>
            <w:rStyle w:val="Hyperlink"/>
            <w:lang w:val="fr-BE"/>
          </w:rPr>
          <w:t>2014/25/EU</w:t>
        </w:r>
      </w:hyperlink>
      <w:r>
        <w:rPr>
          <w:lang w:val="fr-BE"/>
        </w:rPr>
        <w:t>.</w:t>
      </w:r>
    </w:p>
  </w:footnote>
  <w:footnote w:id="217">
    <w:p w:rsidR="00E26342" w:rsidRDefault="00040788">
      <w:pPr>
        <w:pStyle w:val="FootnoteText"/>
        <w:rPr>
          <w:lang w:val="fr-BE"/>
        </w:rPr>
      </w:pPr>
      <w:r>
        <w:rPr>
          <w:rStyle w:val="FootnoteReference"/>
        </w:rPr>
        <w:footnoteRef/>
      </w:r>
      <w:r>
        <w:rPr>
          <w:lang w:val="fr-BE"/>
        </w:rPr>
        <w:t xml:space="preserve"> </w:t>
      </w:r>
      <w:r>
        <w:rPr>
          <w:lang w:val="fr-BE"/>
        </w:rPr>
        <w:tab/>
        <w:t xml:space="preserve">Directive </w:t>
      </w:r>
      <w:hyperlink r:id="rId310" w:history="1">
        <w:r>
          <w:rPr>
            <w:rStyle w:val="Hyperlink"/>
            <w:lang w:val="fr-BE"/>
          </w:rPr>
          <w:t>2011/76/EU</w:t>
        </w:r>
      </w:hyperlink>
      <w:r>
        <w:rPr>
          <w:lang w:val="fr-BE"/>
        </w:rPr>
        <w:t>.</w:t>
      </w:r>
    </w:p>
  </w:footnote>
  <w:footnote w:id="218">
    <w:p w:rsidR="00E26342" w:rsidRDefault="00040788">
      <w:pPr>
        <w:pStyle w:val="FootnoteText"/>
        <w:rPr>
          <w:lang w:val="fr-BE"/>
        </w:rPr>
      </w:pPr>
      <w:r>
        <w:rPr>
          <w:rStyle w:val="FootnoteReference"/>
        </w:rPr>
        <w:footnoteRef/>
      </w:r>
      <w:r>
        <w:rPr>
          <w:lang w:val="fr-BE"/>
        </w:rPr>
        <w:t xml:space="preserve"> </w:t>
      </w:r>
      <w:r>
        <w:rPr>
          <w:lang w:val="fr-BE"/>
        </w:rPr>
        <w:tab/>
        <w:t xml:space="preserve">Directive </w:t>
      </w:r>
      <w:hyperlink r:id="rId311" w:history="1">
        <w:r>
          <w:rPr>
            <w:rStyle w:val="Hyperlink"/>
            <w:lang w:val="fr-BE"/>
          </w:rPr>
          <w:t>2009/138/EC</w:t>
        </w:r>
      </w:hyperlink>
      <w:r>
        <w:rPr>
          <w:lang w:val="fr-BE"/>
        </w:rPr>
        <w:t>.</w:t>
      </w:r>
    </w:p>
  </w:footnote>
  <w:footnote w:id="219">
    <w:p w:rsidR="00E26342" w:rsidRDefault="00040788">
      <w:pPr>
        <w:pStyle w:val="FootnoteText"/>
        <w:rPr>
          <w:lang w:val="fr-BE"/>
        </w:rPr>
      </w:pPr>
      <w:r>
        <w:rPr>
          <w:rStyle w:val="FootnoteReference"/>
        </w:rPr>
        <w:footnoteRef/>
      </w:r>
      <w:r>
        <w:rPr>
          <w:lang w:val="fr-BE"/>
        </w:rPr>
        <w:t xml:space="preserve"> </w:t>
      </w:r>
      <w:r>
        <w:rPr>
          <w:lang w:val="fr-BE"/>
        </w:rPr>
        <w:tab/>
        <w:t xml:space="preserve">Directive </w:t>
      </w:r>
      <w:hyperlink r:id="rId312" w:history="1">
        <w:r>
          <w:rPr>
            <w:rStyle w:val="Hyperlink"/>
            <w:lang w:val="fr-BE"/>
          </w:rPr>
          <w:t>2014/51/EU</w:t>
        </w:r>
      </w:hyperlink>
      <w:r>
        <w:rPr>
          <w:lang w:val="fr-BE"/>
        </w:rPr>
        <w:t>.</w:t>
      </w:r>
    </w:p>
  </w:footnote>
  <w:footnote w:id="220">
    <w:p w:rsidR="00E26342" w:rsidRDefault="00040788">
      <w:pPr>
        <w:pStyle w:val="FootnoteText"/>
      </w:pPr>
      <w:r>
        <w:rPr>
          <w:rStyle w:val="FootnoteReference"/>
        </w:rPr>
        <w:footnoteRef/>
      </w:r>
      <w:r>
        <w:t xml:space="preserve"> </w:t>
      </w:r>
      <w:r>
        <w:tab/>
        <w:t xml:space="preserve">Directive </w:t>
      </w:r>
      <w:hyperlink r:id="rId313" w:history="1">
        <w:r>
          <w:rPr>
            <w:rStyle w:val="Hyperlink"/>
          </w:rPr>
          <w:t>2013/34/EU</w:t>
        </w:r>
      </w:hyperlink>
      <w:r>
        <w:t>.</w:t>
      </w:r>
    </w:p>
  </w:footnote>
  <w:footnote w:id="221">
    <w:p w:rsidR="00E26342" w:rsidRDefault="00040788">
      <w:pPr>
        <w:pStyle w:val="FootnoteText"/>
      </w:pPr>
      <w:r>
        <w:rPr>
          <w:rStyle w:val="FootnoteReference"/>
        </w:rPr>
        <w:footnoteRef/>
      </w:r>
      <w:r>
        <w:t xml:space="preserve"> </w:t>
      </w:r>
      <w:r>
        <w:tab/>
        <w:t xml:space="preserve">Directive </w:t>
      </w:r>
      <w:hyperlink r:id="rId314" w:history="1">
        <w:r>
          <w:rPr>
            <w:rStyle w:val="Hyperlink"/>
          </w:rPr>
          <w:t>2014/95/EU</w:t>
        </w:r>
      </w:hyperlink>
      <w:r>
        <w:t>.</w:t>
      </w:r>
    </w:p>
  </w:footnote>
  <w:footnote w:id="222">
    <w:p w:rsidR="00E26342" w:rsidRDefault="00040788">
      <w:pPr>
        <w:pStyle w:val="FootnoteText"/>
      </w:pPr>
      <w:r>
        <w:rPr>
          <w:rStyle w:val="FootnoteReference"/>
        </w:rPr>
        <w:footnoteRef/>
      </w:r>
      <w:r>
        <w:t xml:space="preserve"> </w:t>
      </w:r>
      <w:r>
        <w:tab/>
        <w:t xml:space="preserve">Directive </w:t>
      </w:r>
      <w:hyperlink r:id="rId315" w:history="1">
        <w:r>
          <w:rPr>
            <w:rStyle w:val="Hyperlink"/>
          </w:rPr>
          <w:t>2012/34/EU</w:t>
        </w:r>
      </w:hyperlink>
      <w:r>
        <w:t>.</w:t>
      </w:r>
    </w:p>
  </w:footnote>
  <w:footnote w:id="223">
    <w:p w:rsidR="00E26342" w:rsidRDefault="00040788">
      <w:pPr>
        <w:pStyle w:val="FootnoteText"/>
      </w:pPr>
      <w:r>
        <w:rPr>
          <w:rStyle w:val="FootnoteReference"/>
        </w:rPr>
        <w:footnoteRef/>
      </w:r>
      <w:r>
        <w:t xml:space="preserve"> </w:t>
      </w:r>
      <w:r>
        <w:tab/>
        <w:t xml:space="preserve">These rulings are </w:t>
      </w:r>
      <w:r>
        <w:t>almost exclusively handed down in infringement procedures.</w:t>
      </w:r>
    </w:p>
  </w:footnote>
  <w:footnote w:id="224">
    <w:p w:rsidR="00E26342" w:rsidRDefault="00040788">
      <w:pPr>
        <w:pStyle w:val="FootnoteText"/>
        <w:rPr>
          <w:lang w:val="it-IT"/>
        </w:rPr>
      </w:pPr>
      <w:r>
        <w:rPr>
          <w:rStyle w:val="FootnoteReference"/>
        </w:rPr>
        <w:footnoteRef/>
      </w:r>
      <w:r>
        <w:rPr>
          <w:lang w:val="it-IT"/>
        </w:rPr>
        <w:t xml:space="preserve"> </w:t>
      </w:r>
      <w:r>
        <w:rPr>
          <w:lang w:val="it-IT"/>
        </w:rPr>
        <w:tab/>
        <w:t xml:space="preserve">Romania v Commission, </w:t>
      </w:r>
      <w:hyperlink r:id="rId316" w:history="1">
        <w:r>
          <w:rPr>
            <w:rStyle w:val="Hyperlink"/>
            <w:lang w:val="it-IT"/>
          </w:rPr>
          <w:t>C-599/15</w:t>
        </w:r>
      </w:hyperlink>
      <w:r>
        <w:rPr>
          <w:rStyle w:val="Hyperlink"/>
          <w:lang w:val="it-IT"/>
        </w:rPr>
        <w:t>.</w:t>
      </w:r>
    </w:p>
  </w:footnote>
  <w:footnote w:id="225">
    <w:p w:rsidR="00E26342" w:rsidRDefault="00040788">
      <w:pPr>
        <w:pStyle w:val="FootnoteText"/>
        <w:rPr>
          <w:lang w:val="it-IT"/>
        </w:rPr>
      </w:pPr>
      <w:r>
        <w:rPr>
          <w:rStyle w:val="FootnoteReference"/>
        </w:rPr>
        <w:footnoteRef/>
      </w:r>
      <w:r>
        <w:rPr>
          <w:lang w:val="it-IT"/>
        </w:rPr>
        <w:t xml:space="preserve"> </w:t>
      </w:r>
      <w:r>
        <w:rPr>
          <w:lang w:val="it-IT"/>
        </w:rPr>
        <w:tab/>
        <w:t xml:space="preserve">Popescu, </w:t>
      </w:r>
      <w:hyperlink r:id="rId317" w:history="1">
        <w:r>
          <w:rPr>
            <w:rStyle w:val="Hyperlink"/>
            <w:lang w:val="it-IT"/>
          </w:rPr>
          <w:t>C-632/15</w:t>
        </w:r>
      </w:hyperlink>
      <w:r>
        <w:rPr>
          <w:lang w:val="it-IT"/>
        </w:rPr>
        <w:t>.</w:t>
      </w:r>
    </w:p>
  </w:footnote>
  <w:footnote w:id="226">
    <w:p w:rsidR="00E26342" w:rsidRDefault="00040788">
      <w:pPr>
        <w:pStyle w:val="FootnoteText"/>
      </w:pPr>
      <w:r>
        <w:rPr>
          <w:rStyle w:val="FootnoteReference"/>
        </w:rPr>
        <w:footnoteRef/>
      </w:r>
      <w:r>
        <w:t xml:space="preserve"> </w:t>
      </w:r>
      <w:r>
        <w:tab/>
        <w:t xml:space="preserve">Andriciuc and Others, </w:t>
      </w:r>
      <w:hyperlink r:id="rId318" w:history="1">
        <w:r>
          <w:rPr>
            <w:rStyle w:val="Hyperlink"/>
          </w:rPr>
          <w:t>C-186/16</w:t>
        </w:r>
      </w:hyperlink>
      <w:r>
        <w:t xml:space="preserve"> and Court press release No </w:t>
      </w:r>
      <w:hyperlink r:id="rId319" w:history="1">
        <w:r>
          <w:rPr>
            <w:rStyle w:val="Hyperlink"/>
          </w:rPr>
          <w:t>103/17</w:t>
        </w:r>
      </w:hyperlink>
      <w:r>
        <w:t>.</w:t>
      </w:r>
    </w:p>
  </w:footnote>
  <w:footnote w:id="227">
    <w:p w:rsidR="00E26342" w:rsidRDefault="00040788">
      <w:pPr>
        <w:pStyle w:val="FootnoteText"/>
      </w:pPr>
      <w:r>
        <w:rPr>
          <w:rStyle w:val="FootnoteReference"/>
        </w:rPr>
        <w:footnoteRef/>
      </w:r>
      <w:r>
        <w:t xml:space="preserve"> </w:t>
      </w:r>
      <w:r>
        <w:tab/>
      </w:r>
      <w:hyperlink r:id="rId320" w:history="1">
        <w:r>
          <w:rPr>
            <w:rStyle w:val="Hyperlink"/>
          </w:rPr>
          <w:t>MEMO/17/1281</w:t>
        </w:r>
      </w:hyperlink>
      <w:r>
        <w:t>.</w:t>
      </w:r>
    </w:p>
  </w:footnote>
  <w:footnote w:id="228">
    <w:p w:rsidR="00E26342" w:rsidRDefault="00040788">
      <w:pPr>
        <w:pStyle w:val="FootnoteText"/>
      </w:pPr>
      <w:r>
        <w:rPr>
          <w:rStyle w:val="FootnoteReference"/>
        </w:rPr>
        <w:footnoteRef/>
      </w:r>
      <w:r>
        <w:t xml:space="preserve"> </w:t>
      </w:r>
      <w:r>
        <w:tab/>
        <w:t xml:space="preserve">Directive </w:t>
      </w:r>
      <w:hyperlink r:id="rId321" w:history="1">
        <w:r>
          <w:rPr>
            <w:rStyle w:val="Hyperlink"/>
          </w:rPr>
          <w:t>2009/147/EC</w:t>
        </w:r>
      </w:hyperlink>
      <w:r>
        <w:t xml:space="preserve"> and Directive </w:t>
      </w:r>
      <w:hyperlink r:id="rId322" w:history="1">
        <w:r>
          <w:rPr>
            <w:rStyle w:val="Hyperlink"/>
          </w:rPr>
          <w:t>92/43/EEC</w:t>
        </w:r>
      </w:hyperlink>
      <w:r>
        <w:t xml:space="preserve">; </w:t>
      </w:r>
      <w:hyperlink r:id="rId323" w:history="1">
        <w:r>
          <w:rPr>
            <w:rStyle w:val="Hyperlink"/>
          </w:rPr>
          <w:t>MEMO/17/3494</w:t>
        </w:r>
      </w:hyperlink>
      <w:r>
        <w:t>.</w:t>
      </w:r>
    </w:p>
  </w:footnote>
  <w:footnote w:id="229">
    <w:p w:rsidR="00E26342" w:rsidRDefault="00040788">
      <w:pPr>
        <w:pStyle w:val="FootnoteText"/>
      </w:pPr>
      <w:r>
        <w:rPr>
          <w:rStyle w:val="FootnoteReference"/>
        </w:rPr>
        <w:footnoteRef/>
      </w:r>
      <w:r>
        <w:t xml:space="preserve"> </w:t>
      </w:r>
      <w:r>
        <w:tab/>
        <w:t xml:space="preserve">Directive </w:t>
      </w:r>
      <w:hyperlink r:id="rId324" w:history="1">
        <w:r>
          <w:rPr>
            <w:rStyle w:val="Hyperlink"/>
          </w:rPr>
          <w:t>2007/60/EC</w:t>
        </w:r>
      </w:hyperlink>
      <w:r>
        <w:t>.</w:t>
      </w:r>
    </w:p>
  </w:footnote>
  <w:footnote w:id="230">
    <w:p w:rsidR="00E26342" w:rsidRDefault="00040788">
      <w:pPr>
        <w:pStyle w:val="FootnoteText"/>
      </w:pPr>
      <w:r>
        <w:rPr>
          <w:rStyle w:val="FootnoteReference"/>
        </w:rPr>
        <w:footnoteRef/>
      </w:r>
      <w:r>
        <w:t xml:space="preserve"> </w:t>
      </w:r>
      <w:r>
        <w:tab/>
        <w:t xml:space="preserve">Directive </w:t>
      </w:r>
      <w:hyperlink r:id="rId325" w:history="1">
        <w:r>
          <w:rPr>
            <w:rStyle w:val="Hyperlink"/>
          </w:rPr>
          <w:t>2008/56/EC</w:t>
        </w:r>
      </w:hyperlink>
      <w:r>
        <w:t>.</w:t>
      </w:r>
    </w:p>
  </w:footnote>
  <w:footnote w:id="231">
    <w:p w:rsidR="00E26342" w:rsidRDefault="00040788">
      <w:pPr>
        <w:pStyle w:val="FootnoteText"/>
      </w:pPr>
      <w:r>
        <w:rPr>
          <w:rStyle w:val="FootnoteReference"/>
        </w:rPr>
        <w:footnoteRef/>
      </w:r>
      <w:r>
        <w:t xml:space="preserve"> </w:t>
      </w:r>
      <w:r>
        <w:tab/>
        <w:t xml:space="preserve">Directive </w:t>
      </w:r>
      <w:hyperlink r:id="rId326" w:history="1">
        <w:r>
          <w:rPr>
            <w:rStyle w:val="Hyperlink"/>
          </w:rPr>
          <w:t>2002/21/EC</w:t>
        </w:r>
      </w:hyperlink>
      <w:r>
        <w:t xml:space="preserve">, </w:t>
      </w:r>
      <w:hyperlink r:id="rId327" w:history="1">
        <w:r>
          <w:rPr>
            <w:rStyle w:val="Hyperlink"/>
          </w:rPr>
          <w:t>MEMO/17/3494</w:t>
        </w:r>
      </w:hyperlink>
      <w:r>
        <w:t>.</w:t>
      </w:r>
    </w:p>
  </w:footnote>
  <w:footnote w:id="232">
    <w:p w:rsidR="00E26342" w:rsidRDefault="00040788">
      <w:pPr>
        <w:pStyle w:val="FootnoteText"/>
      </w:pPr>
      <w:r>
        <w:rPr>
          <w:rStyle w:val="FootnoteReference"/>
        </w:rPr>
        <w:footnoteRef/>
      </w:r>
      <w:r>
        <w:t xml:space="preserve"> </w:t>
      </w:r>
      <w:r>
        <w:tab/>
        <w:t xml:space="preserve">Directive </w:t>
      </w:r>
      <w:hyperlink r:id="rId328" w:history="1">
        <w:r>
          <w:rPr>
            <w:rStyle w:val="Hyperlink"/>
          </w:rPr>
          <w:t>2002/49/EC</w:t>
        </w:r>
      </w:hyperlink>
      <w:r>
        <w:t xml:space="preserve">; </w:t>
      </w:r>
      <w:hyperlink r:id="rId329" w:history="1">
        <w:r>
          <w:rPr>
            <w:rStyle w:val="Hyperlink"/>
          </w:rPr>
          <w:t>MEMO/17/3494</w:t>
        </w:r>
      </w:hyperlink>
      <w:r>
        <w:t>.</w:t>
      </w:r>
    </w:p>
  </w:footnote>
  <w:footnote w:id="233">
    <w:p w:rsidR="00E26342" w:rsidRDefault="00040788">
      <w:pPr>
        <w:pStyle w:val="FootnoteText"/>
      </w:pPr>
      <w:r>
        <w:rPr>
          <w:rStyle w:val="FootnoteReference"/>
        </w:rPr>
        <w:footnoteRef/>
      </w:r>
      <w:r>
        <w:t xml:space="preserve"> </w:t>
      </w:r>
      <w:r>
        <w:tab/>
        <w:t xml:space="preserve">Article 4(3) of the </w:t>
      </w:r>
      <w:hyperlink r:id="rId330" w:history="1">
        <w:r>
          <w:rPr>
            <w:rStyle w:val="Hyperlink"/>
          </w:rPr>
          <w:t>TFEU</w:t>
        </w:r>
      </w:hyperlink>
      <w:r>
        <w:t>.</w:t>
      </w:r>
    </w:p>
  </w:footnote>
  <w:footnote w:id="234">
    <w:p w:rsidR="00E26342" w:rsidRDefault="00040788">
      <w:pPr>
        <w:pStyle w:val="FootnoteText"/>
        <w:rPr>
          <w:lang w:val="fr-BE"/>
        </w:rPr>
      </w:pPr>
      <w:r>
        <w:rPr>
          <w:rStyle w:val="FootnoteReference"/>
        </w:rPr>
        <w:footnoteRef/>
      </w:r>
      <w:r>
        <w:rPr>
          <w:lang w:val="fr-BE"/>
        </w:rPr>
        <w:t xml:space="preserve"> </w:t>
      </w:r>
      <w:r>
        <w:rPr>
          <w:lang w:val="fr-BE"/>
        </w:rPr>
        <w:tab/>
        <w:t xml:space="preserve">Directive </w:t>
      </w:r>
      <w:hyperlink r:id="rId331" w:history="1">
        <w:r>
          <w:rPr>
            <w:rStyle w:val="Hyperlink"/>
            <w:lang w:val="fr-BE"/>
          </w:rPr>
          <w:t>2014/56/EU</w:t>
        </w:r>
      </w:hyperlink>
      <w:r>
        <w:rPr>
          <w:lang w:val="fr-BE"/>
        </w:rPr>
        <w:t>.</w:t>
      </w:r>
    </w:p>
  </w:footnote>
  <w:footnote w:id="235">
    <w:p w:rsidR="00E26342" w:rsidRDefault="00040788">
      <w:pPr>
        <w:pStyle w:val="FootnoteText"/>
        <w:rPr>
          <w:lang w:val="fr-BE"/>
        </w:rPr>
      </w:pPr>
      <w:r>
        <w:rPr>
          <w:rStyle w:val="FootnoteReference"/>
        </w:rPr>
        <w:footnoteRef/>
      </w:r>
      <w:r>
        <w:rPr>
          <w:lang w:val="fr-BE"/>
        </w:rPr>
        <w:t xml:space="preserve"> </w:t>
      </w:r>
      <w:r>
        <w:rPr>
          <w:lang w:val="fr-BE"/>
        </w:rPr>
        <w:tab/>
        <w:t xml:space="preserve">Directive </w:t>
      </w:r>
      <w:hyperlink r:id="rId332" w:history="1">
        <w:r>
          <w:rPr>
            <w:rStyle w:val="Hyperlink"/>
            <w:lang w:val="fr-BE"/>
          </w:rPr>
          <w:t>2014/65/EU</w:t>
        </w:r>
      </w:hyperlink>
      <w:r>
        <w:rPr>
          <w:lang w:val="fr-BE"/>
        </w:rPr>
        <w:t>.</w:t>
      </w:r>
    </w:p>
  </w:footnote>
  <w:footnote w:id="236">
    <w:p w:rsidR="00E26342" w:rsidRDefault="00040788">
      <w:pPr>
        <w:pStyle w:val="FootnoteText"/>
        <w:rPr>
          <w:lang w:val="fr-BE"/>
        </w:rPr>
      </w:pPr>
      <w:r>
        <w:rPr>
          <w:rStyle w:val="FootnoteReference"/>
        </w:rPr>
        <w:footnoteRef/>
      </w:r>
      <w:r>
        <w:rPr>
          <w:lang w:val="fr-BE"/>
        </w:rPr>
        <w:t xml:space="preserve"> </w:t>
      </w:r>
      <w:r>
        <w:rPr>
          <w:lang w:val="fr-BE"/>
        </w:rPr>
        <w:tab/>
        <w:t xml:space="preserve">Directive </w:t>
      </w:r>
      <w:hyperlink r:id="rId333" w:history="1">
        <w:r>
          <w:rPr>
            <w:rStyle w:val="Hyperlink"/>
            <w:lang w:val="fr-BE"/>
          </w:rPr>
          <w:t>1999/31/EC</w:t>
        </w:r>
      </w:hyperlink>
      <w:r>
        <w:rPr>
          <w:lang w:val="fr-BE"/>
        </w:rPr>
        <w:t xml:space="preserve">, Commission v Slovenia, </w:t>
      </w:r>
      <w:hyperlink r:id="rId334" w:history="1">
        <w:r>
          <w:rPr>
            <w:rStyle w:val="Hyperlink"/>
            <w:lang w:val="fr-BE"/>
          </w:rPr>
          <w:t>C-506/17</w:t>
        </w:r>
      </w:hyperlink>
      <w:r>
        <w:rPr>
          <w:lang w:val="fr-BE"/>
        </w:rPr>
        <w:t xml:space="preserve">; </w:t>
      </w:r>
      <w:hyperlink r:id="rId335" w:history="1">
        <w:r>
          <w:rPr>
            <w:rStyle w:val="Hyperlink"/>
            <w:lang w:val="fr-BE"/>
          </w:rPr>
          <w:t>IP/17/1048</w:t>
        </w:r>
      </w:hyperlink>
      <w:r>
        <w:rPr>
          <w:lang w:val="fr-BE"/>
        </w:rPr>
        <w:t>.</w:t>
      </w:r>
    </w:p>
  </w:footnote>
  <w:footnote w:id="237">
    <w:p w:rsidR="00E26342" w:rsidRDefault="00040788">
      <w:pPr>
        <w:pStyle w:val="FootnoteText"/>
      </w:pPr>
      <w:r>
        <w:rPr>
          <w:rStyle w:val="FootnoteReference"/>
        </w:rPr>
        <w:footnoteRef/>
      </w:r>
      <w:r>
        <w:t xml:space="preserve"> </w:t>
      </w:r>
      <w:r>
        <w:tab/>
        <w:t xml:space="preserve">Council Directive </w:t>
      </w:r>
      <w:hyperlink r:id="rId336" w:history="1">
        <w:r>
          <w:rPr>
            <w:rStyle w:val="Hyperlink"/>
          </w:rPr>
          <w:t>2011/85/EU</w:t>
        </w:r>
      </w:hyperlink>
      <w:r>
        <w:t xml:space="preserve"> and Commission v Slovenia, </w:t>
      </w:r>
      <w:hyperlink r:id="rId337" w:history="1">
        <w:r>
          <w:rPr>
            <w:rStyle w:val="Hyperlink"/>
          </w:rPr>
          <w:t>C-594/17</w:t>
        </w:r>
      </w:hyperlink>
      <w:r>
        <w:t xml:space="preserve">; </w:t>
      </w:r>
      <w:hyperlink r:id="rId338" w:history="1">
        <w:r>
          <w:rPr>
            <w:rStyle w:val="Hyperlink"/>
          </w:rPr>
          <w:t>IP/17/1956</w:t>
        </w:r>
      </w:hyperlink>
      <w:r>
        <w:t>.</w:t>
      </w:r>
    </w:p>
  </w:footnote>
  <w:footnote w:id="238">
    <w:p w:rsidR="00E26342" w:rsidRDefault="00040788">
      <w:pPr>
        <w:pStyle w:val="FootnoteText"/>
      </w:pPr>
      <w:r>
        <w:rPr>
          <w:rStyle w:val="FootnoteReference"/>
        </w:rPr>
        <w:footnoteRef/>
      </w:r>
      <w:r>
        <w:t xml:space="preserve"> </w:t>
      </w:r>
      <w:r>
        <w:tab/>
        <w:t xml:space="preserve">Regulation </w:t>
      </w:r>
      <w:hyperlink r:id="rId339" w:history="1">
        <w:r>
          <w:rPr>
            <w:rStyle w:val="Hyperlink"/>
          </w:rPr>
          <w:t>748/2012</w:t>
        </w:r>
      </w:hyperlink>
      <w:r>
        <w:t xml:space="preserve"> and Regulation </w:t>
      </w:r>
      <w:hyperlink r:id="rId340" w:history="1">
        <w:r>
          <w:rPr>
            <w:rStyle w:val="Hyperlink"/>
          </w:rPr>
          <w:t>1321/2014</w:t>
        </w:r>
      </w:hyperlink>
      <w:r>
        <w:t>.</w:t>
      </w:r>
    </w:p>
  </w:footnote>
  <w:footnote w:id="239">
    <w:p w:rsidR="00E26342" w:rsidRDefault="00040788">
      <w:pPr>
        <w:pStyle w:val="FootnoteText"/>
      </w:pPr>
      <w:r>
        <w:rPr>
          <w:rStyle w:val="FootnoteReference"/>
        </w:rPr>
        <w:footnoteRef/>
      </w:r>
      <w:r>
        <w:t xml:space="preserve"> </w:t>
      </w:r>
      <w:r>
        <w:tab/>
        <w:t xml:space="preserve">Directive </w:t>
      </w:r>
      <w:hyperlink r:id="rId341" w:history="1">
        <w:r>
          <w:rPr>
            <w:rStyle w:val="Hyperlink"/>
          </w:rPr>
          <w:t>2007/60/EC</w:t>
        </w:r>
      </w:hyperlink>
      <w:r>
        <w:t>.</w:t>
      </w:r>
    </w:p>
  </w:footnote>
  <w:footnote w:id="240">
    <w:p w:rsidR="00E26342" w:rsidRDefault="00040788">
      <w:pPr>
        <w:pStyle w:val="FootnoteText"/>
      </w:pPr>
      <w:r>
        <w:rPr>
          <w:rStyle w:val="FootnoteReference"/>
        </w:rPr>
        <w:footnoteRef/>
      </w:r>
      <w:r>
        <w:t xml:space="preserve"> </w:t>
      </w:r>
      <w:r>
        <w:tab/>
        <w:t xml:space="preserve">Directive </w:t>
      </w:r>
      <w:hyperlink r:id="rId342" w:history="1">
        <w:r>
          <w:rPr>
            <w:rStyle w:val="Hyperlink"/>
          </w:rPr>
          <w:t>2008/56/EC</w:t>
        </w:r>
      </w:hyperlink>
      <w:r>
        <w:t>.</w:t>
      </w:r>
    </w:p>
  </w:footnote>
  <w:footnote w:id="241">
    <w:p w:rsidR="00E26342" w:rsidRDefault="00040788">
      <w:pPr>
        <w:pStyle w:val="FootnoteText"/>
      </w:pPr>
      <w:r>
        <w:rPr>
          <w:rStyle w:val="FootnoteReference"/>
        </w:rPr>
        <w:footnoteRef/>
      </w:r>
      <w:r>
        <w:t xml:space="preserve"> </w:t>
      </w:r>
      <w:r>
        <w:tab/>
        <w:t>Commission R</w:t>
      </w:r>
      <w:r>
        <w:t xml:space="preserve">egulations </w:t>
      </w:r>
      <w:hyperlink r:id="rId343" w:history="1">
        <w:r>
          <w:rPr>
            <w:rStyle w:val="Hyperlink"/>
          </w:rPr>
          <w:t>748/2012</w:t>
        </w:r>
      </w:hyperlink>
      <w:r>
        <w:t xml:space="preserve"> and </w:t>
      </w:r>
      <w:hyperlink r:id="rId344" w:history="1">
        <w:r>
          <w:rPr>
            <w:rStyle w:val="Hyperlink"/>
          </w:rPr>
          <w:t>1321/2014</w:t>
        </w:r>
      </w:hyperlink>
      <w:r>
        <w:t>.</w:t>
      </w:r>
    </w:p>
  </w:footnote>
  <w:footnote w:id="242">
    <w:p w:rsidR="00E26342" w:rsidRDefault="00040788">
      <w:pPr>
        <w:pStyle w:val="FootnoteText"/>
      </w:pPr>
      <w:r>
        <w:rPr>
          <w:rStyle w:val="FootnoteReference"/>
        </w:rPr>
        <w:footnoteRef/>
      </w:r>
      <w:r>
        <w:t xml:space="preserve"> </w:t>
      </w:r>
      <w:r>
        <w:tab/>
        <w:t xml:space="preserve">Directive </w:t>
      </w:r>
      <w:hyperlink r:id="rId345" w:history="1">
        <w:r>
          <w:rPr>
            <w:rStyle w:val="Hyperlink"/>
          </w:rPr>
          <w:t>2006/126/EC</w:t>
        </w:r>
      </w:hyperlink>
      <w:r>
        <w:t>.</w:t>
      </w:r>
    </w:p>
  </w:footnote>
  <w:footnote w:id="243">
    <w:p w:rsidR="00E26342" w:rsidRDefault="00040788">
      <w:pPr>
        <w:pStyle w:val="FootnoteText"/>
      </w:pPr>
      <w:r>
        <w:rPr>
          <w:rStyle w:val="FootnoteReference"/>
        </w:rPr>
        <w:footnoteRef/>
      </w:r>
      <w:r>
        <w:t xml:space="preserve"> </w:t>
      </w:r>
      <w:r>
        <w:tab/>
        <w:t xml:space="preserve">Directive </w:t>
      </w:r>
      <w:hyperlink r:id="rId346" w:history="1">
        <w:r>
          <w:rPr>
            <w:rStyle w:val="Hyperlink"/>
          </w:rPr>
          <w:t>2012/34/EU</w:t>
        </w:r>
      </w:hyperlink>
      <w:r>
        <w:t>.</w:t>
      </w:r>
    </w:p>
  </w:footnote>
  <w:footnote w:id="244">
    <w:p w:rsidR="00E26342" w:rsidRDefault="00040788">
      <w:pPr>
        <w:pStyle w:val="FootnoteText"/>
      </w:pPr>
      <w:r>
        <w:rPr>
          <w:rStyle w:val="FootnoteReference"/>
        </w:rPr>
        <w:footnoteRef/>
      </w:r>
      <w:r>
        <w:t xml:space="preserve"> </w:t>
      </w:r>
      <w:r>
        <w:tab/>
        <w:t xml:space="preserve">Directive </w:t>
      </w:r>
      <w:hyperlink r:id="rId347" w:history="1">
        <w:r>
          <w:rPr>
            <w:rStyle w:val="Hyperlink"/>
          </w:rPr>
          <w:t>2014/95/EU</w:t>
        </w:r>
      </w:hyperlink>
      <w:r>
        <w:t>.</w:t>
      </w:r>
    </w:p>
  </w:footnote>
  <w:footnote w:id="245">
    <w:p w:rsidR="00E26342" w:rsidRDefault="00040788">
      <w:pPr>
        <w:pStyle w:val="FootnoteText"/>
      </w:pPr>
      <w:r>
        <w:rPr>
          <w:rStyle w:val="FootnoteReference"/>
        </w:rPr>
        <w:footnoteRef/>
      </w:r>
      <w:r>
        <w:t xml:space="preserve"> </w:t>
      </w:r>
      <w:r>
        <w:tab/>
        <w:t xml:space="preserve">Directive </w:t>
      </w:r>
      <w:hyperlink r:id="rId348" w:history="1">
        <w:r>
          <w:rPr>
            <w:rStyle w:val="Hyperlink"/>
          </w:rPr>
          <w:t>2013/34/EU</w:t>
        </w:r>
      </w:hyperlink>
      <w:r>
        <w:t>.</w:t>
      </w:r>
    </w:p>
  </w:footnote>
  <w:footnote w:id="246">
    <w:p w:rsidR="00E26342" w:rsidRDefault="00040788">
      <w:pPr>
        <w:pStyle w:val="FootnoteText"/>
      </w:pPr>
      <w:r>
        <w:rPr>
          <w:rStyle w:val="FootnoteReference"/>
        </w:rPr>
        <w:footnoteRef/>
      </w:r>
      <w:r>
        <w:t xml:space="preserve">     Directive </w:t>
      </w:r>
      <w:hyperlink r:id="rId349" w:history="1">
        <w:r>
          <w:rPr>
            <w:rStyle w:val="Hyperlink"/>
          </w:rPr>
          <w:t>2015/2087/EU</w:t>
        </w:r>
      </w:hyperlink>
      <w:r>
        <w:t xml:space="preserve"> amending Directive </w:t>
      </w:r>
      <w:hyperlink r:id="rId350" w:history="1">
        <w:r>
          <w:rPr>
            <w:rStyle w:val="Hyperlink"/>
          </w:rPr>
          <w:t>2000/59/EC</w:t>
        </w:r>
      </w:hyperlink>
      <w:r>
        <w:t>.</w:t>
      </w:r>
    </w:p>
  </w:footnote>
  <w:footnote w:id="247">
    <w:p w:rsidR="00E26342" w:rsidRDefault="00040788">
      <w:pPr>
        <w:pStyle w:val="FootnoteText"/>
      </w:pPr>
      <w:r>
        <w:rPr>
          <w:rStyle w:val="FootnoteReference"/>
        </w:rPr>
        <w:footnoteRef/>
      </w:r>
      <w:r>
        <w:t xml:space="preserve"> </w:t>
      </w:r>
      <w:r>
        <w:tab/>
        <w:t>Direct</w:t>
      </w:r>
      <w:r>
        <w:t xml:space="preserve">ive </w:t>
      </w:r>
      <w:hyperlink r:id="rId351" w:history="1">
        <w:r>
          <w:rPr>
            <w:rStyle w:val="Hyperlink"/>
          </w:rPr>
          <w:t>2014/91/EU</w:t>
        </w:r>
      </w:hyperlink>
      <w:r>
        <w:t>.</w:t>
      </w:r>
    </w:p>
  </w:footnote>
  <w:footnote w:id="248">
    <w:p w:rsidR="00E26342" w:rsidRDefault="00040788">
      <w:pPr>
        <w:pStyle w:val="FootnoteText"/>
      </w:pPr>
      <w:r>
        <w:rPr>
          <w:rStyle w:val="FootnoteReference"/>
        </w:rPr>
        <w:footnoteRef/>
      </w:r>
      <w:r>
        <w:t xml:space="preserve"> </w:t>
      </w:r>
      <w:r>
        <w:tab/>
        <w:t xml:space="preserve">Directive </w:t>
      </w:r>
      <w:hyperlink r:id="rId352" w:history="1">
        <w:r>
          <w:rPr>
            <w:rStyle w:val="Hyperlink"/>
          </w:rPr>
          <w:t>2013/50/EU</w:t>
        </w:r>
      </w:hyperlink>
      <w:r>
        <w:t>.</w:t>
      </w:r>
    </w:p>
  </w:footnote>
  <w:footnote w:id="249">
    <w:p w:rsidR="00E26342" w:rsidRDefault="00040788">
      <w:pPr>
        <w:pStyle w:val="FootnoteText"/>
      </w:pPr>
      <w:r>
        <w:rPr>
          <w:rStyle w:val="FootnoteReference"/>
        </w:rPr>
        <w:footnoteRef/>
      </w:r>
      <w:r>
        <w:t xml:space="preserve"> </w:t>
      </w:r>
      <w:r>
        <w:tab/>
        <w:t>Directiv</w:t>
      </w:r>
      <w:r>
        <w:t xml:space="preserve">e </w:t>
      </w:r>
      <w:hyperlink r:id="rId353" w:history="1">
        <w:r>
          <w:rPr>
            <w:rStyle w:val="Hyperlink"/>
          </w:rPr>
          <w:t>2005/36/EC</w:t>
        </w:r>
      </w:hyperlink>
      <w:r>
        <w:t>.</w:t>
      </w:r>
    </w:p>
  </w:footnote>
  <w:footnote w:id="250">
    <w:p w:rsidR="00E26342" w:rsidRDefault="00040788">
      <w:pPr>
        <w:pStyle w:val="FootnoteText"/>
      </w:pPr>
      <w:r>
        <w:rPr>
          <w:rStyle w:val="FootnoteReference"/>
        </w:rPr>
        <w:footnoteRef/>
      </w:r>
      <w:r>
        <w:t xml:space="preserve"> </w:t>
      </w:r>
      <w:r>
        <w:tab/>
        <w:t xml:space="preserve">Directive </w:t>
      </w:r>
      <w:hyperlink r:id="rId354" w:history="1">
        <w:r>
          <w:rPr>
            <w:rStyle w:val="Hyperlink"/>
          </w:rPr>
          <w:t>2014/80/EU</w:t>
        </w:r>
      </w:hyperlink>
      <w:r>
        <w:t>.</w:t>
      </w:r>
    </w:p>
  </w:footnote>
  <w:footnote w:id="251">
    <w:p w:rsidR="00E26342" w:rsidRDefault="00040788">
      <w:pPr>
        <w:pStyle w:val="FootnoteText"/>
      </w:pPr>
      <w:r>
        <w:rPr>
          <w:rStyle w:val="FootnoteReference"/>
        </w:rPr>
        <w:footnoteRef/>
      </w:r>
      <w:r>
        <w:t xml:space="preserve"> </w:t>
      </w:r>
      <w:r>
        <w:tab/>
      </w:r>
      <w:r>
        <w:t xml:space="preserve">Directive </w:t>
      </w:r>
      <w:hyperlink r:id="rId355" w:history="1">
        <w:r>
          <w:rPr>
            <w:rStyle w:val="Hyperlink"/>
          </w:rPr>
          <w:t>2006/118/EC</w:t>
        </w:r>
      </w:hyperlink>
      <w:r>
        <w:t>.</w:t>
      </w:r>
    </w:p>
  </w:footnote>
  <w:footnote w:id="252">
    <w:p w:rsidR="00E26342" w:rsidRDefault="00040788">
      <w:pPr>
        <w:pStyle w:val="FootnoteText"/>
      </w:pPr>
      <w:r>
        <w:rPr>
          <w:rStyle w:val="FootnoteReference"/>
        </w:rPr>
        <w:footnoteRef/>
      </w:r>
      <w:r>
        <w:t xml:space="preserve"> </w:t>
      </w:r>
      <w:r>
        <w:tab/>
        <w:t xml:space="preserve">Directive </w:t>
      </w:r>
      <w:hyperlink r:id="rId356" w:history="1">
        <w:r>
          <w:rPr>
            <w:rStyle w:val="Hyperlink"/>
          </w:rPr>
          <w:t>2014/49/EU</w:t>
        </w:r>
      </w:hyperlink>
      <w:r>
        <w:t>.</w:t>
      </w:r>
    </w:p>
  </w:footnote>
  <w:footnote w:id="253">
    <w:p w:rsidR="00E26342" w:rsidRDefault="00040788">
      <w:pPr>
        <w:pStyle w:val="FootnoteText"/>
      </w:pPr>
      <w:r>
        <w:rPr>
          <w:rStyle w:val="FootnoteReference"/>
        </w:rPr>
        <w:footnoteRef/>
      </w:r>
      <w:r>
        <w:t xml:space="preserve"> </w:t>
      </w:r>
      <w:r>
        <w:tab/>
        <w:t>D</w:t>
      </w:r>
      <w:r>
        <w:t xml:space="preserve">irective </w:t>
      </w:r>
      <w:hyperlink r:id="rId357" w:history="1">
        <w:r>
          <w:rPr>
            <w:rStyle w:val="Hyperlink"/>
          </w:rPr>
          <w:t>2013/36/EU</w:t>
        </w:r>
      </w:hyperlink>
      <w:r>
        <w:t>.</w:t>
      </w:r>
    </w:p>
  </w:footnote>
  <w:footnote w:id="254">
    <w:p w:rsidR="00E26342" w:rsidRDefault="00040788">
      <w:pPr>
        <w:pStyle w:val="FootnoteText"/>
      </w:pPr>
      <w:r>
        <w:rPr>
          <w:rStyle w:val="FootnoteReference"/>
        </w:rPr>
        <w:footnoteRef/>
      </w:r>
      <w:r>
        <w:t xml:space="preserve"> </w:t>
      </w:r>
      <w:r>
        <w:tab/>
        <w:t xml:space="preserve">Directive </w:t>
      </w:r>
      <w:hyperlink r:id="rId358" w:history="1">
        <w:r>
          <w:rPr>
            <w:rStyle w:val="Hyperlink"/>
          </w:rPr>
          <w:t>2014/87/Euratom</w:t>
        </w:r>
      </w:hyperlink>
      <w:r>
        <w:t>.</w:t>
      </w:r>
    </w:p>
  </w:footnote>
  <w:footnote w:id="255">
    <w:p w:rsidR="00E26342" w:rsidRDefault="00040788">
      <w:pPr>
        <w:pStyle w:val="FootnoteText"/>
      </w:pPr>
      <w:r>
        <w:rPr>
          <w:rStyle w:val="FootnoteReference"/>
        </w:rPr>
        <w:footnoteRef/>
      </w:r>
      <w:r>
        <w:t xml:space="preserve"> </w:t>
      </w:r>
      <w:r>
        <w:tab/>
        <w:t>These rulings are almost exclusively handed down in infringement procedures.</w:t>
      </w:r>
    </w:p>
  </w:footnote>
  <w:footnote w:id="256">
    <w:p w:rsidR="00E26342" w:rsidRDefault="00040788">
      <w:pPr>
        <w:pStyle w:val="FootnoteText"/>
      </w:pPr>
      <w:r>
        <w:rPr>
          <w:rStyle w:val="FootnoteReference"/>
        </w:rPr>
        <w:footnoteRef/>
      </w:r>
      <w:r>
        <w:t xml:space="preserve"> </w:t>
      </w:r>
      <w:r>
        <w:tab/>
        <w:t xml:space="preserve">Directives </w:t>
      </w:r>
      <w:hyperlink r:id="rId359" w:history="1">
        <w:r>
          <w:rPr>
            <w:rStyle w:val="Hyperlink"/>
          </w:rPr>
          <w:t>1999/31/EC</w:t>
        </w:r>
      </w:hyperlink>
      <w:r>
        <w:t xml:space="preserve"> and </w:t>
      </w:r>
      <w:hyperlink r:id="rId360" w:history="1">
        <w:r>
          <w:rPr>
            <w:rStyle w:val="Hyperlink"/>
          </w:rPr>
          <w:t>2008/98/CE</w:t>
        </w:r>
      </w:hyperlink>
      <w:r>
        <w:t xml:space="preserve">, and Commission v Slovenia, </w:t>
      </w:r>
      <w:hyperlink r:id="rId361" w:history="1">
        <w:r>
          <w:rPr>
            <w:rStyle w:val="Hyperlink"/>
          </w:rPr>
          <w:t>C-153/16</w:t>
        </w:r>
      </w:hyperlink>
      <w:r>
        <w:t>.</w:t>
      </w:r>
    </w:p>
  </w:footnote>
  <w:footnote w:id="257">
    <w:p w:rsidR="00E26342" w:rsidRDefault="00040788">
      <w:pPr>
        <w:pStyle w:val="FootnoteText"/>
        <w:rPr>
          <w:lang w:val="pt-PT"/>
        </w:rPr>
      </w:pPr>
      <w:r>
        <w:rPr>
          <w:rStyle w:val="FootnoteReference"/>
        </w:rPr>
        <w:footnoteRef/>
      </w:r>
      <w:r>
        <w:rPr>
          <w:lang w:val="pt-PT"/>
        </w:rPr>
        <w:t xml:space="preserve"> </w:t>
      </w:r>
      <w:r>
        <w:rPr>
          <w:lang w:val="pt-PT"/>
        </w:rPr>
        <w:tab/>
        <w:t xml:space="preserve">C. K., H. F., A. S., </w:t>
      </w:r>
      <w:hyperlink r:id="rId362" w:history="1">
        <w:r>
          <w:rPr>
            <w:rStyle w:val="Hyperlink"/>
            <w:lang w:val="pt-PT"/>
          </w:rPr>
          <w:t>C-578/16</w:t>
        </w:r>
      </w:hyperlink>
      <w:r>
        <w:rPr>
          <w:lang w:val="pt-PT"/>
        </w:rPr>
        <w:t>.</w:t>
      </w:r>
    </w:p>
  </w:footnote>
  <w:footnote w:id="258">
    <w:p w:rsidR="00E26342" w:rsidRDefault="00040788">
      <w:pPr>
        <w:pStyle w:val="FootnoteText"/>
        <w:ind w:left="426" w:hanging="426"/>
        <w:rPr>
          <w:lang w:val="pt-PT"/>
        </w:rPr>
      </w:pPr>
      <w:r>
        <w:rPr>
          <w:rStyle w:val="FootnoteReference"/>
        </w:rPr>
        <w:footnoteRef/>
      </w:r>
      <w:r>
        <w:rPr>
          <w:lang w:val="pt-PT"/>
        </w:rPr>
        <w:t xml:space="preserve"> </w:t>
      </w:r>
      <w:r>
        <w:rPr>
          <w:lang w:val="pt-PT"/>
        </w:rPr>
        <w:tab/>
        <w:t xml:space="preserve">Regulation </w:t>
      </w:r>
      <w:hyperlink r:id="rId363" w:history="1">
        <w:r>
          <w:rPr>
            <w:rStyle w:val="Hyperlink"/>
            <w:lang w:val="pt-PT"/>
          </w:rPr>
          <w:t>910/2014/EU</w:t>
        </w:r>
      </w:hyperlink>
      <w:r>
        <w:rPr>
          <w:lang w:val="pt-PT"/>
        </w:rPr>
        <w:t xml:space="preserve">, </w:t>
      </w:r>
      <w:hyperlink r:id="rId364" w:history="1">
        <w:r>
          <w:rPr>
            <w:rStyle w:val="Hyperlink"/>
            <w:lang w:val="pt-PT"/>
          </w:rPr>
          <w:t>MEMO/17/3494</w:t>
        </w:r>
      </w:hyperlink>
      <w:r>
        <w:rPr>
          <w:lang w:val="pt-PT"/>
        </w:rPr>
        <w:t>.</w:t>
      </w:r>
    </w:p>
  </w:footnote>
  <w:footnote w:id="259">
    <w:p w:rsidR="00E26342" w:rsidRDefault="00040788">
      <w:pPr>
        <w:pStyle w:val="FootnoteText"/>
        <w:rPr>
          <w:lang w:val="pt-PT"/>
        </w:rPr>
      </w:pPr>
      <w:r>
        <w:rPr>
          <w:rStyle w:val="FootnoteReference"/>
        </w:rPr>
        <w:footnoteRef/>
      </w:r>
      <w:r>
        <w:rPr>
          <w:lang w:val="pt-PT"/>
        </w:rPr>
        <w:t xml:space="preserve"> </w:t>
      </w:r>
      <w:r>
        <w:rPr>
          <w:lang w:val="pt-PT"/>
        </w:rPr>
        <w:tab/>
      </w:r>
      <w:hyperlink r:id="rId365" w:history="1">
        <w:r>
          <w:rPr>
            <w:rStyle w:val="Hyperlink"/>
            <w:lang w:val="pt-PT"/>
          </w:rPr>
          <w:t>MEMO/17/3494</w:t>
        </w:r>
      </w:hyperlink>
      <w:r>
        <w:rPr>
          <w:lang w:val="pt-PT"/>
        </w:rPr>
        <w:t>.</w:t>
      </w:r>
    </w:p>
  </w:footnote>
  <w:footnote w:id="260">
    <w:p w:rsidR="00E26342" w:rsidRDefault="00040788">
      <w:pPr>
        <w:pStyle w:val="FootnoteText"/>
        <w:rPr>
          <w:lang w:val="pt-PT"/>
        </w:rPr>
      </w:pPr>
      <w:r>
        <w:rPr>
          <w:rStyle w:val="FootnoteReference"/>
        </w:rPr>
        <w:footnoteRef/>
      </w:r>
      <w:r>
        <w:rPr>
          <w:lang w:val="pt-PT"/>
        </w:rPr>
        <w:t xml:space="preserve"> </w:t>
      </w:r>
      <w:r>
        <w:rPr>
          <w:lang w:val="pt-PT"/>
        </w:rPr>
        <w:tab/>
        <w:t xml:space="preserve">Directive </w:t>
      </w:r>
      <w:hyperlink r:id="rId366" w:history="1">
        <w:r>
          <w:rPr>
            <w:rStyle w:val="Hyperlink"/>
            <w:lang w:val="pt-PT"/>
          </w:rPr>
          <w:t>2002/49/EC</w:t>
        </w:r>
      </w:hyperlink>
      <w:r>
        <w:rPr>
          <w:lang w:val="pt-PT"/>
        </w:rPr>
        <w:t xml:space="preserve">; </w:t>
      </w:r>
      <w:hyperlink r:id="rId367" w:history="1">
        <w:r>
          <w:rPr>
            <w:rStyle w:val="Hyperlink"/>
            <w:lang w:val="pt-PT"/>
          </w:rPr>
          <w:t>MEMO/17/1577</w:t>
        </w:r>
      </w:hyperlink>
      <w:r>
        <w:rPr>
          <w:lang w:val="pt-PT"/>
        </w:rPr>
        <w:t>.</w:t>
      </w:r>
    </w:p>
  </w:footnote>
  <w:footnote w:id="261">
    <w:p w:rsidR="00E26342" w:rsidRDefault="00040788">
      <w:pPr>
        <w:pStyle w:val="FootnoteText"/>
        <w:rPr>
          <w:lang w:val="pt-PT"/>
        </w:rPr>
      </w:pPr>
      <w:r>
        <w:rPr>
          <w:rStyle w:val="FootnoteReference"/>
        </w:rPr>
        <w:footnoteRef/>
      </w:r>
      <w:r>
        <w:rPr>
          <w:lang w:val="pt-PT"/>
        </w:rPr>
        <w:t xml:space="preserve"> </w:t>
      </w:r>
      <w:r>
        <w:rPr>
          <w:lang w:val="pt-PT"/>
        </w:rPr>
        <w:tab/>
        <w:t xml:space="preserve">Directive </w:t>
      </w:r>
      <w:hyperlink r:id="rId368" w:history="1">
        <w:r>
          <w:rPr>
            <w:rStyle w:val="Hyperlink"/>
            <w:lang w:val="pt-PT"/>
          </w:rPr>
          <w:t>2015/652/EU</w:t>
        </w:r>
      </w:hyperlink>
      <w:r>
        <w:rPr>
          <w:lang w:val="pt-PT"/>
        </w:rPr>
        <w:t>.</w:t>
      </w:r>
    </w:p>
  </w:footnote>
  <w:footnote w:id="262">
    <w:p w:rsidR="00E26342" w:rsidRDefault="00040788">
      <w:pPr>
        <w:pStyle w:val="FootnoteText"/>
        <w:rPr>
          <w:lang w:val="pt-PT"/>
        </w:rPr>
      </w:pPr>
      <w:r>
        <w:rPr>
          <w:rStyle w:val="FootnoteReference"/>
        </w:rPr>
        <w:footnoteRef/>
      </w:r>
      <w:r>
        <w:rPr>
          <w:lang w:val="pt-PT"/>
        </w:rPr>
        <w:t xml:space="preserve"> </w:t>
      </w:r>
      <w:r>
        <w:rPr>
          <w:lang w:val="pt-PT"/>
        </w:rPr>
        <w:tab/>
        <w:t xml:space="preserve">Directive </w:t>
      </w:r>
      <w:hyperlink r:id="rId369" w:history="1">
        <w:r>
          <w:rPr>
            <w:rStyle w:val="Hyperlink"/>
            <w:lang w:val="pt-PT"/>
          </w:rPr>
          <w:t>98/70/EC</w:t>
        </w:r>
      </w:hyperlink>
      <w:r>
        <w:rPr>
          <w:lang w:val="pt-PT"/>
        </w:rPr>
        <w:t>.</w:t>
      </w:r>
    </w:p>
  </w:footnote>
  <w:footnote w:id="263">
    <w:p w:rsidR="00E26342" w:rsidRDefault="00040788">
      <w:pPr>
        <w:pStyle w:val="FootnoteText"/>
        <w:rPr>
          <w:lang w:val="pt-PT"/>
        </w:rPr>
      </w:pPr>
      <w:r>
        <w:rPr>
          <w:rStyle w:val="FootnoteReference"/>
        </w:rPr>
        <w:footnoteRef/>
      </w:r>
      <w:r>
        <w:rPr>
          <w:lang w:val="pt-PT"/>
        </w:rPr>
        <w:t xml:space="preserve"> </w:t>
      </w:r>
      <w:r>
        <w:rPr>
          <w:lang w:val="pt-PT"/>
        </w:rPr>
        <w:tab/>
        <w:t xml:space="preserve">Directive </w:t>
      </w:r>
      <w:hyperlink r:id="rId370" w:history="1">
        <w:r>
          <w:rPr>
            <w:rStyle w:val="Hyperlink"/>
            <w:lang w:val="pt-PT"/>
          </w:rPr>
          <w:t>2015/849/EU</w:t>
        </w:r>
      </w:hyperlink>
      <w:r>
        <w:rPr>
          <w:lang w:val="pt-PT"/>
        </w:rPr>
        <w:t>.</w:t>
      </w:r>
    </w:p>
  </w:footnote>
  <w:footnote w:id="264">
    <w:p w:rsidR="00E26342" w:rsidRDefault="00040788">
      <w:pPr>
        <w:pStyle w:val="FootnoteText"/>
        <w:rPr>
          <w:lang w:val="pt-PT"/>
        </w:rPr>
      </w:pPr>
      <w:r>
        <w:rPr>
          <w:rStyle w:val="FootnoteReference"/>
        </w:rPr>
        <w:footnoteRef/>
      </w:r>
      <w:r>
        <w:rPr>
          <w:lang w:val="pt-PT"/>
        </w:rPr>
        <w:t xml:space="preserve"> </w:t>
      </w:r>
      <w:r>
        <w:rPr>
          <w:lang w:val="pt-PT"/>
        </w:rPr>
        <w:tab/>
        <w:t xml:space="preserve">Directive </w:t>
      </w:r>
      <w:hyperlink r:id="rId371" w:history="1">
        <w:r>
          <w:rPr>
            <w:rStyle w:val="Hyperlink"/>
            <w:lang w:val="pt-PT"/>
          </w:rPr>
          <w:t>2014/65/EU</w:t>
        </w:r>
      </w:hyperlink>
      <w:r>
        <w:rPr>
          <w:lang w:val="pt-PT"/>
        </w:rPr>
        <w:t>.</w:t>
      </w:r>
    </w:p>
  </w:footnote>
  <w:footnote w:id="265">
    <w:p w:rsidR="00E26342" w:rsidRDefault="00040788">
      <w:pPr>
        <w:pStyle w:val="FootnoteText"/>
        <w:rPr>
          <w:lang w:val="pt-PT"/>
        </w:rPr>
      </w:pPr>
      <w:r>
        <w:rPr>
          <w:rStyle w:val="FootnoteReference"/>
          <w:sz w:val="20"/>
        </w:rPr>
        <w:footnoteRef/>
      </w:r>
      <w:r>
        <w:rPr>
          <w:lang w:val="pt-PT"/>
        </w:rPr>
        <w:t xml:space="preserve"> </w:t>
      </w:r>
      <w:r>
        <w:rPr>
          <w:sz w:val="20"/>
          <w:lang w:val="pt-PT"/>
        </w:rPr>
        <w:tab/>
      </w:r>
      <w:r>
        <w:rPr>
          <w:lang w:val="pt-PT"/>
        </w:rPr>
        <w:t xml:space="preserve">Directive </w:t>
      </w:r>
      <w:hyperlink r:id="rId372" w:history="1">
        <w:r>
          <w:rPr>
            <w:rStyle w:val="Hyperlink"/>
            <w:lang w:val="pt-PT"/>
          </w:rPr>
          <w:t>2014/61/EU</w:t>
        </w:r>
      </w:hyperlink>
      <w:r>
        <w:rPr>
          <w:lang w:val="pt-PT"/>
        </w:rPr>
        <w:t xml:space="preserve">, Commission v Slovakia, </w:t>
      </w:r>
      <w:hyperlink r:id="rId373" w:history="1">
        <w:r>
          <w:rPr>
            <w:rStyle w:val="Hyperlink"/>
            <w:lang w:val="pt-PT"/>
          </w:rPr>
          <w:t>C-605/17</w:t>
        </w:r>
      </w:hyperlink>
      <w:r>
        <w:rPr>
          <w:lang w:val="pt-PT"/>
        </w:rPr>
        <w:t xml:space="preserve">; </w:t>
      </w:r>
      <w:hyperlink r:id="rId374" w:history="1">
        <w:r>
          <w:rPr>
            <w:rStyle w:val="Hyperlink"/>
            <w:lang w:val="pt-PT"/>
          </w:rPr>
          <w:t>IP/17/1937</w:t>
        </w:r>
      </w:hyperlink>
      <w:r>
        <w:rPr>
          <w:lang w:val="pt-PT"/>
        </w:rPr>
        <w:t>.</w:t>
      </w:r>
    </w:p>
  </w:footnote>
  <w:footnote w:id="266">
    <w:p w:rsidR="00E26342" w:rsidRDefault="00040788">
      <w:pPr>
        <w:pStyle w:val="FootnoteText"/>
        <w:rPr>
          <w:szCs w:val="18"/>
          <w:lang w:val="pt-PT"/>
        </w:rPr>
      </w:pPr>
      <w:r>
        <w:rPr>
          <w:rStyle w:val="FootnoteReference"/>
          <w:szCs w:val="18"/>
        </w:rPr>
        <w:footnoteRef/>
      </w:r>
      <w:r>
        <w:rPr>
          <w:szCs w:val="18"/>
          <w:lang w:val="pt-PT"/>
        </w:rPr>
        <w:t xml:space="preserve"> </w:t>
      </w:r>
      <w:r>
        <w:rPr>
          <w:lang w:val="pt-PT"/>
        </w:rPr>
        <w:tab/>
        <w:t xml:space="preserve">Directive </w:t>
      </w:r>
      <w:hyperlink r:id="rId375" w:history="1">
        <w:r>
          <w:rPr>
            <w:rStyle w:val="Hyperlink"/>
            <w:lang w:val="pt-PT"/>
          </w:rPr>
          <w:t>2014/66/EU</w:t>
        </w:r>
      </w:hyperlink>
      <w:r>
        <w:rPr>
          <w:szCs w:val="18"/>
          <w:lang w:val="pt-PT"/>
        </w:rPr>
        <w:t xml:space="preserve">; </w:t>
      </w:r>
      <w:hyperlink r:id="rId376" w:history="1">
        <w:r>
          <w:rPr>
            <w:rStyle w:val="Hyperlink"/>
            <w:lang w:val="pt-PT"/>
          </w:rPr>
          <w:t>MEMO/17/3494</w:t>
        </w:r>
      </w:hyperlink>
      <w:r>
        <w:rPr>
          <w:szCs w:val="18"/>
          <w:lang w:val="pt-PT"/>
        </w:rPr>
        <w:t>.</w:t>
      </w:r>
    </w:p>
  </w:footnote>
  <w:footnote w:id="267">
    <w:p w:rsidR="00E26342" w:rsidRDefault="00040788">
      <w:pPr>
        <w:pStyle w:val="FootnoteText"/>
        <w:rPr>
          <w:lang w:val="pt-PT"/>
        </w:rPr>
      </w:pPr>
      <w:r>
        <w:rPr>
          <w:rStyle w:val="FootnoteReference"/>
        </w:rPr>
        <w:footnoteRef/>
      </w:r>
      <w:r>
        <w:rPr>
          <w:lang w:val="pt-PT"/>
        </w:rPr>
        <w:t xml:space="preserve"> </w:t>
      </w:r>
      <w:r>
        <w:rPr>
          <w:szCs w:val="18"/>
          <w:lang w:val="pt-PT"/>
        </w:rPr>
        <w:tab/>
      </w:r>
      <w:r>
        <w:rPr>
          <w:lang w:val="pt-PT"/>
        </w:rPr>
        <w:t xml:space="preserve">Directive </w:t>
      </w:r>
      <w:hyperlink r:id="rId377" w:history="1">
        <w:r>
          <w:rPr>
            <w:rStyle w:val="Hyperlink"/>
            <w:lang w:val="pt-PT"/>
          </w:rPr>
          <w:t>2009/138/EC</w:t>
        </w:r>
      </w:hyperlink>
      <w:r>
        <w:rPr>
          <w:lang w:val="pt-PT"/>
        </w:rPr>
        <w:t>.</w:t>
      </w:r>
    </w:p>
  </w:footnote>
  <w:footnote w:id="268">
    <w:p w:rsidR="00E26342" w:rsidRDefault="00040788">
      <w:pPr>
        <w:pStyle w:val="FootnoteText"/>
        <w:rPr>
          <w:szCs w:val="18"/>
          <w:lang w:val="pt-PT"/>
        </w:rPr>
      </w:pPr>
      <w:r>
        <w:rPr>
          <w:rStyle w:val="FootnoteReference"/>
          <w:szCs w:val="18"/>
        </w:rPr>
        <w:footnoteRef/>
      </w:r>
      <w:r>
        <w:rPr>
          <w:lang w:val="pt-PT"/>
        </w:rPr>
        <w:t xml:space="preserve"> </w:t>
      </w:r>
      <w:r>
        <w:rPr>
          <w:szCs w:val="18"/>
          <w:lang w:val="pt-PT"/>
        </w:rPr>
        <w:tab/>
      </w:r>
      <w:r>
        <w:rPr>
          <w:lang w:val="pt-PT"/>
        </w:rPr>
        <w:t xml:space="preserve">Directive </w:t>
      </w:r>
      <w:hyperlink r:id="rId378" w:history="1">
        <w:r>
          <w:rPr>
            <w:rStyle w:val="Hyperlink"/>
            <w:lang w:val="pt-PT"/>
          </w:rPr>
          <w:t>2014/51/EU</w:t>
        </w:r>
      </w:hyperlink>
      <w:r>
        <w:rPr>
          <w:lang w:val="pt-PT"/>
        </w:rPr>
        <w:t>.</w:t>
      </w:r>
    </w:p>
  </w:footnote>
  <w:footnote w:id="269">
    <w:p w:rsidR="00E26342" w:rsidRDefault="00040788">
      <w:pPr>
        <w:pStyle w:val="FootnoteText"/>
      </w:pPr>
      <w:r>
        <w:rPr>
          <w:rStyle w:val="FootnoteReference"/>
        </w:rPr>
        <w:footnoteRef/>
      </w:r>
      <w:r>
        <w:t xml:space="preserve"> </w:t>
      </w:r>
      <w:r>
        <w:rPr>
          <w:szCs w:val="18"/>
        </w:rPr>
        <w:tab/>
      </w:r>
      <w:r>
        <w:t xml:space="preserve">Directive </w:t>
      </w:r>
      <w:hyperlink r:id="rId379" w:history="1">
        <w:r>
          <w:rPr>
            <w:rStyle w:val="Hyperlink"/>
          </w:rPr>
          <w:t>2011/92/EU</w:t>
        </w:r>
      </w:hyperlink>
      <w:r>
        <w:t>.</w:t>
      </w:r>
    </w:p>
  </w:footnote>
  <w:footnote w:id="270">
    <w:p w:rsidR="00E26342" w:rsidRDefault="00040788">
      <w:pPr>
        <w:pStyle w:val="FootnoteText"/>
        <w:rPr>
          <w:szCs w:val="18"/>
        </w:rPr>
      </w:pPr>
      <w:r>
        <w:rPr>
          <w:rStyle w:val="FootnoteReference"/>
          <w:szCs w:val="18"/>
        </w:rPr>
        <w:footnoteRef/>
      </w:r>
      <w:r>
        <w:rPr>
          <w:szCs w:val="18"/>
        </w:rPr>
        <w:t xml:space="preserve"> </w:t>
      </w:r>
      <w:r>
        <w:rPr>
          <w:szCs w:val="18"/>
        </w:rPr>
        <w:tab/>
        <w:t xml:space="preserve">These rulings are almost exclusively </w:t>
      </w:r>
      <w:r>
        <w:rPr>
          <w:szCs w:val="18"/>
        </w:rPr>
        <w:t>handed down on infringement procedures.</w:t>
      </w:r>
    </w:p>
  </w:footnote>
  <w:footnote w:id="271">
    <w:p w:rsidR="00E26342" w:rsidRDefault="00040788">
      <w:pPr>
        <w:pStyle w:val="FootnoteText"/>
        <w:rPr>
          <w:szCs w:val="18"/>
        </w:rPr>
      </w:pPr>
      <w:r>
        <w:rPr>
          <w:rStyle w:val="FootnoteReference"/>
          <w:szCs w:val="18"/>
        </w:rPr>
        <w:footnoteRef/>
      </w:r>
      <w:r>
        <w:rPr>
          <w:szCs w:val="18"/>
        </w:rPr>
        <w:t xml:space="preserve"> </w:t>
      </w:r>
      <w:r>
        <w:rPr>
          <w:szCs w:val="18"/>
        </w:rPr>
        <w:tab/>
      </w:r>
      <w:r>
        <w:t xml:space="preserve">Council Decisions (EU) </w:t>
      </w:r>
      <w:hyperlink r:id="rId380" w:history="1">
        <w:r>
          <w:rPr>
            <w:rStyle w:val="Hyperlink"/>
          </w:rPr>
          <w:t>2015/1523</w:t>
        </w:r>
      </w:hyperlink>
      <w:r>
        <w:t xml:space="preserve"> and </w:t>
      </w:r>
      <w:hyperlink r:id="rId381" w:history="1">
        <w:r>
          <w:rPr>
            <w:rStyle w:val="Hyperlink"/>
          </w:rPr>
          <w:t>2015/1601</w:t>
        </w:r>
      </w:hyperlink>
      <w:r>
        <w:t xml:space="preserve">; </w:t>
      </w:r>
      <w:hyperlink r:id="rId382" w:history="1">
        <w:r>
          <w:rPr>
            <w:rStyle w:val="Hyperlink"/>
          </w:rPr>
          <w:t>IP/17/5002</w:t>
        </w:r>
      </w:hyperlink>
      <w:r>
        <w:t>.</w:t>
      </w:r>
    </w:p>
  </w:footnote>
  <w:footnote w:id="272">
    <w:p w:rsidR="00E26342" w:rsidRDefault="00040788">
      <w:pPr>
        <w:pStyle w:val="FootnoteText"/>
        <w:rPr>
          <w:szCs w:val="18"/>
        </w:rPr>
      </w:pPr>
      <w:r>
        <w:rPr>
          <w:rStyle w:val="FootnoteReference"/>
          <w:szCs w:val="18"/>
        </w:rPr>
        <w:footnoteRef/>
      </w:r>
      <w:r>
        <w:rPr>
          <w:szCs w:val="18"/>
        </w:rPr>
        <w:t xml:space="preserve"> </w:t>
      </w:r>
      <w:r>
        <w:rPr>
          <w:szCs w:val="18"/>
        </w:rPr>
        <w:tab/>
      </w:r>
      <w:r>
        <w:t xml:space="preserve">Slovakia v. Council, </w:t>
      </w:r>
      <w:hyperlink r:id="rId383" w:history="1">
        <w:r>
          <w:rPr>
            <w:rStyle w:val="Hyperlink"/>
          </w:rPr>
          <w:t>C-643/15</w:t>
        </w:r>
      </w:hyperlink>
      <w:r>
        <w:t xml:space="preserve"> </w:t>
      </w:r>
      <w:r>
        <w:rPr>
          <w:szCs w:val="18"/>
        </w:rPr>
        <w:t xml:space="preserve">and Court press release </w:t>
      </w:r>
      <w:hyperlink r:id="rId384" w:history="1">
        <w:r>
          <w:rPr>
            <w:rStyle w:val="Hyperlink"/>
          </w:rPr>
          <w:t>No 91/17</w:t>
        </w:r>
      </w:hyperlink>
      <w:r>
        <w:t>.</w:t>
      </w:r>
    </w:p>
  </w:footnote>
  <w:footnote w:id="273">
    <w:p w:rsidR="00E26342" w:rsidRDefault="00040788">
      <w:pPr>
        <w:pStyle w:val="FootnoteText"/>
        <w:rPr>
          <w:szCs w:val="18"/>
        </w:rPr>
      </w:pPr>
      <w:r>
        <w:rPr>
          <w:rStyle w:val="FootnoteReference"/>
          <w:szCs w:val="18"/>
        </w:rPr>
        <w:footnoteRef/>
      </w:r>
      <w:r>
        <w:rPr>
          <w:szCs w:val="18"/>
        </w:rPr>
        <w:t xml:space="preserve"> </w:t>
      </w:r>
      <w:r>
        <w:rPr>
          <w:szCs w:val="18"/>
        </w:rPr>
        <w:tab/>
        <w:t xml:space="preserve">Joint cases </w:t>
      </w:r>
      <w:hyperlink r:id="rId385" w:history="1">
        <w:r>
          <w:rPr>
            <w:rStyle w:val="Hyperlink"/>
            <w:szCs w:val="18"/>
          </w:rPr>
          <w:t>C-593/15</w:t>
        </w:r>
      </w:hyperlink>
      <w:r>
        <w:rPr>
          <w:szCs w:val="18"/>
        </w:rPr>
        <w:t xml:space="preserve"> and </w:t>
      </w:r>
      <w:hyperlink r:id="rId386" w:history="1">
        <w:r>
          <w:rPr>
            <w:rStyle w:val="Hyperlink"/>
            <w:szCs w:val="18"/>
          </w:rPr>
          <w:t>C-594/15</w:t>
        </w:r>
      </w:hyperlink>
      <w:r>
        <w:rPr>
          <w:szCs w:val="18"/>
        </w:rPr>
        <w:t>, Slovakia v Commission.</w:t>
      </w:r>
    </w:p>
  </w:footnote>
  <w:footnote w:id="274">
    <w:p w:rsidR="00E26342" w:rsidRDefault="00040788">
      <w:pPr>
        <w:pStyle w:val="FootnoteText"/>
      </w:pPr>
      <w:r>
        <w:rPr>
          <w:rStyle w:val="FootnoteReference"/>
        </w:rPr>
        <w:footnoteRef/>
      </w:r>
      <w:r>
        <w:t xml:space="preserve"> </w:t>
      </w:r>
      <w:r>
        <w:tab/>
        <w:t xml:space="preserve">Regulation (EC) No </w:t>
      </w:r>
      <w:hyperlink r:id="rId387" w:history="1">
        <w:r>
          <w:rPr>
            <w:rStyle w:val="Hyperlink"/>
          </w:rPr>
          <w:t>883/2004</w:t>
        </w:r>
      </w:hyperlink>
      <w:r>
        <w:t>.</w:t>
      </w:r>
    </w:p>
  </w:footnote>
  <w:footnote w:id="275">
    <w:p w:rsidR="00E26342" w:rsidRDefault="00040788">
      <w:pPr>
        <w:pStyle w:val="FootnoteText"/>
        <w:rPr>
          <w:szCs w:val="18"/>
        </w:rPr>
      </w:pPr>
      <w:r>
        <w:rPr>
          <w:rStyle w:val="FootnoteReference"/>
          <w:szCs w:val="18"/>
        </w:rPr>
        <w:footnoteRef/>
      </w:r>
      <w:r>
        <w:rPr>
          <w:szCs w:val="18"/>
        </w:rPr>
        <w:t xml:space="preserve"> </w:t>
      </w:r>
      <w:r>
        <w:rPr>
          <w:szCs w:val="18"/>
        </w:rPr>
        <w:tab/>
      </w:r>
      <w:r>
        <w:t xml:space="preserve">Szoja, </w:t>
      </w:r>
      <w:hyperlink r:id="rId388" w:history="1">
        <w:r>
          <w:rPr>
            <w:rStyle w:val="Hyperlink"/>
          </w:rPr>
          <w:t>C-89/16</w:t>
        </w:r>
      </w:hyperlink>
      <w:r>
        <w:t>.</w:t>
      </w:r>
    </w:p>
  </w:footnote>
  <w:footnote w:id="276">
    <w:p w:rsidR="00E26342" w:rsidRDefault="00040788">
      <w:pPr>
        <w:pStyle w:val="FootnoteText"/>
      </w:pPr>
      <w:r>
        <w:rPr>
          <w:rStyle w:val="FootnoteReference"/>
        </w:rPr>
        <w:footnoteRef/>
      </w:r>
      <w:r>
        <w:t xml:space="preserve"> </w:t>
      </w:r>
      <w:r>
        <w:tab/>
        <w:t xml:space="preserve">Directive </w:t>
      </w:r>
      <w:hyperlink r:id="rId389" w:history="1">
        <w:r>
          <w:rPr>
            <w:rStyle w:val="Hyperlink"/>
          </w:rPr>
          <w:t>2014/65/EU</w:t>
        </w:r>
      </w:hyperlink>
      <w:r>
        <w:t>.</w:t>
      </w:r>
    </w:p>
  </w:footnote>
  <w:footnote w:id="277">
    <w:p w:rsidR="00E26342" w:rsidRDefault="00040788">
      <w:pPr>
        <w:pStyle w:val="FootnoteText"/>
      </w:pPr>
      <w:r>
        <w:rPr>
          <w:rStyle w:val="FootnoteReference"/>
        </w:rPr>
        <w:footnoteRef/>
      </w:r>
      <w:r>
        <w:t xml:space="preserve"> </w:t>
      </w:r>
      <w:r>
        <w:tab/>
        <w:t>Directive</w:t>
      </w:r>
      <w:r>
        <w:t xml:space="preserve"> (EU) </w:t>
      </w:r>
      <w:hyperlink r:id="rId390" w:history="1">
        <w:r>
          <w:rPr>
            <w:rStyle w:val="Hyperlink"/>
          </w:rPr>
          <w:t>2015/2203</w:t>
        </w:r>
      </w:hyperlink>
      <w:r>
        <w:t>.</w:t>
      </w:r>
    </w:p>
  </w:footnote>
  <w:footnote w:id="278">
    <w:p w:rsidR="00E26342" w:rsidRDefault="00040788">
      <w:pPr>
        <w:pStyle w:val="FootnoteText"/>
      </w:pPr>
      <w:r>
        <w:rPr>
          <w:rStyle w:val="FootnoteReference"/>
        </w:rPr>
        <w:footnoteRef/>
      </w:r>
      <w:r>
        <w:t xml:space="preserve"> </w:t>
      </w:r>
      <w:r>
        <w:tab/>
        <w:t xml:space="preserve">Directive </w:t>
      </w:r>
      <w:hyperlink r:id="rId391" w:history="1">
        <w:r>
          <w:rPr>
            <w:rStyle w:val="Hyperlink"/>
          </w:rPr>
          <w:t>2014/89/EU</w:t>
        </w:r>
      </w:hyperlink>
      <w:r>
        <w:t xml:space="preserve">; </w:t>
      </w:r>
      <w:hyperlink r:id="rId392" w:history="1">
        <w:r>
          <w:rPr>
            <w:rStyle w:val="Hyperlink"/>
          </w:rPr>
          <w:t>MEMO/17/1935</w:t>
        </w:r>
      </w:hyperlink>
      <w:r>
        <w:t>.</w:t>
      </w:r>
    </w:p>
  </w:footnote>
  <w:footnote w:id="279">
    <w:p w:rsidR="00E26342" w:rsidRDefault="00040788">
      <w:pPr>
        <w:pStyle w:val="FootnoteText"/>
      </w:pPr>
      <w:r>
        <w:rPr>
          <w:rStyle w:val="FootnoteReference"/>
        </w:rPr>
        <w:footnoteRef/>
      </w:r>
      <w:r>
        <w:t xml:space="preserve"> </w:t>
      </w:r>
      <w:r>
        <w:tab/>
        <w:t xml:space="preserve">Directive </w:t>
      </w:r>
      <w:hyperlink r:id="rId393" w:history="1">
        <w:r>
          <w:rPr>
            <w:rStyle w:val="Hyperlink"/>
          </w:rPr>
          <w:t>2014/112/EU</w:t>
        </w:r>
      </w:hyperlink>
      <w:r>
        <w:t>.</w:t>
      </w:r>
    </w:p>
  </w:footnote>
  <w:footnote w:id="280">
    <w:p w:rsidR="00E26342" w:rsidRDefault="00040788">
      <w:pPr>
        <w:pStyle w:val="FootnoteText"/>
      </w:pPr>
      <w:r>
        <w:rPr>
          <w:rStyle w:val="FootnoteReference"/>
        </w:rPr>
        <w:footnoteRef/>
      </w:r>
      <w:r>
        <w:t xml:space="preserve"> </w:t>
      </w:r>
      <w:r>
        <w:tab/>
        <w:t xml:space="preserve">Directive </w:t>
      </w:r>
      <w:hyperlink r:id="rId394" w:history="1">
        <w:r>
          <w:rPr>
            <w:rStyle w:val="Hyperlink"/>
          </w:rPr>
          <w:t>2015/849/EU</w:t>
        </w:r>
      </w:hyperlink>
      <w:r>
        <w:t>.</w:t>
      </w:r>
    </w:p>
  </w:footnote>
  <w:footnote w:id="281">
    <w:p w:rsidR="00E26342" w:rsidRDefault="00040788">
      <w:pPr>
        <w:pStyle w:val="FootnoteText"/>
      </w:pPr>
      <w:r>
        <w:rPr>
          <w:rStyle w:val="FootnoteReference"/>
        </w:rPr>
        <w:footnoteRef/>
      </w:r>
      <w:r>
        <w:t xml:space="preserve"> </w:t>
      </w:r>
      <w:r>
        <w:tab/>
        <w:t xml:space="preserve">Directive (EU) </w:t>
      </w:r>
      <w:hyperlink r:id="rId395" w:history="1">
        <w:r>
          <w:rPr>
            <w:rStyle w:val="Hyperlink"/>
          </w:rPr>
          <w:t>2015/652.</w:t>
        </w:r>
      </w:hyperlink>
    </w:p>
  </w:footnote>
  <w:footnote w:id="282">
    <w:p w:rsidR="00E26342" w:rsidRDefault="00040788">
      <w:pPr>
        <w:pStyle w:val="FootnoteText"/>
      </w:pPr>
      <w:r>
        <w:rPr>
          <w:rStyle w:val="FootnoteReference"/>
        </w:rPr>
        <w:footnoteRef/>
      </w:r>
      <w:r>
        <w:t xml:space="preserve"> </w:t>
      </w:r>
      <w:r>
        <w:tab/>
        <w:t xml:space="preserve">Directive </w:t>
      </w:r>
      <w:hyperlink r:id="rId396" w:history="1">
        <w:r>
          <w:rPr>
            <w:rStyle w:val="Hyperlink"/>
          </w:rPr>
          <w:t>98/70/EC</w:t>
        </w:r>
      </w:hyperlink>
      <w:r>
        <w:t>.</w:t>
      </w:r>
    </w:p>
  </w:footnote>
  <w:footnote w:id="283">
    <w:p w:rsidR="00E26342" w:rsidRDefault="00040788">
      <w:pPr>
        <w:pStyle w:val="FootnoteText"/>
        <w:rPr>
          <w:lang w:val="pt-PT"/>
        </w:rPr>
      </w:pPr>
      <w:r>
        <w:rPr>
          <w:rStyle w:val="FootnoteReference"/>
        </w:rPr>
        <w:footnoteRef/>
      </w:r>
      <w:r>
        <w:rPr>
          <w:lang w:val="pt-PT"/>
        </w:rPr>
        <w:t xml:space="preserve"> </w:t>
      </w:r>
      <w:r>
        <w:rPr>
          <w:lang w:val="pt-PT"/>
        </w:rPr>
        <w:tab/>
        <w:t xml:space="preserve">Directive </w:t>
      </w:r>
      <w:hyperlink r:id="rId397" w:history="1">
        <w:r>
          <w:rPr>
            <w:rStyle w:val="Hyperlink"/>
            <w:lang w:val="pt-PT"/>
          </w:rPr>
          <w:t>2014/66/EU</w:t>
        </w:r>
      </w:hyperlink>
      <w:r>
        <w:rPr>
          <w:lang w:val="pt-PT"/>
        </w:rPr>
        <w:t xml:space="preserve">; </w:t>
      </w:r>
      <w:hyperlink r:id="rId398" w:history="1">
        <w:r>
          <w:rPr>
            <w:rStyle w:val="Hyperlink"/>
            <w:lang w:val="pt-PT"/>
          </w:rPr>
          <w:t>MEMO/17/3494</w:t>
        </w:r>
      </w:hyperlink>
      <w:r>
        <w:rPr>
          <w:lang w:val="pt-PT"/>
        </w:rPr>
        <w:t>.</w:t>
      </w:r>
    </w:p>
  </w:footnote>
  <w:footnote w:id="284">
    <w:p w:rsidR="00E26342" w:rsidRDefault="00040788">
      <w:pPr>
        <w:pStyle w:val="FootnoteText"/>
        <w:rPr>
          <w:lang w:val="pt-PT"/>
        </w:rPr>
      </w:pPr>
      <w:r>
        <w:rPr>
          <w:rStyle w:val="FootnoteReference"/>
        </w:rPr>
        <w:footnoteRef/>
      </w:r>
      <w:r>
        <w:rPr>
          <w:lang w:val="pt-PT"/>
        </w:rPr>
        <w:t xml:space="preserve"> </w:t>
      </w:r>
      <w:r>
        <w:rPr>
          <w:lang w:val="pt-PT"/>
        </w:rPr>
        <w:tab/>
        <w:t xml:space="preserve">Directive </w:t>
      </w:r>
      <w:hyperlink r:id="rId399" w:history="1">
        <w:r>
          <w:rPr>
            <w:rStyle w:val="Hyperlink"/>
            <w:lang w:val="pt-PT"/>
          </w:rPr>
          <w:t>2014/36/EU</w:t>
        </w:r>
      </w:hyperlink>
      <w:r>
        <w:rPr>
          <w:lang w:val="pt-PT"/>
        </w:rPr>
        <w:t xml:space="preserve">; </w:t>
      </w:r>
      <w:hyperlink r:id="rId400" w:history="1">
        <w:r>
          <w:rPr>
            <w:rStyle w:val="Hyperlink"/>
            <w:lang w:val="pt-PT"/>
          </w:rPr>
          <w:t>MEMO/17/1935</w:t>
        </w:r>
      </w:hyperlink>
      <w:r>
        <w:rPr>
          <w:lang w:val="pt-PT"/>
        </w:rPr>
        <w:t>.</w:t>
      </w:r>
    </w:p>
  </w:footnote>
  <w:footnote w:id="285">
    <w:p w:rsidR="00E26342" w:rsidRDefault="00040788">
      <w:pPr>
        <w:pStyle w:val="FootnoteText"/>
        <w:rPr>
          <w:lang w:val="pt-PT"/>
        </w:rPr>
      </w:pPr>
      <w:r>
        <w:rPr>
          <w:rStyle w:val="FootnoteReference"/>
        </w:rPr>
        <w:footnoteRef/>
      </w:r>
      <w:r>
        <w:rPr>
          <w:lang w:val="pt-PT"/>
        </w:rPr>
        <w:t xml:space="preserve"> </w:t>
      </w:r>
      <w:r>
        <w:rPr>
          <w:lang w:val="pt-PT"/>
        </w:rPr>
        <w:tab/>
        <w:t xml:space="preserve">Directive (EU) </w:t>
      </w:r>
      <w:hyperlink r:id="rId401" w:history="1">
        <w:r>
          <w:rPr>
            <w:rStyle w:val="Hyperlink"/>
            <w:lang w:val="pt-PT"/>
          </w:rPr>
          <w:t>2015/2203</w:t>
        </w:r>
      </w:hyperlink>
      <w:r>
        <w:rPr>
          <w:lang w:val="pt-PT"/>
        </w:rPr>
        <w:t>.</w:t>
      </w:r>
    </w:p>
  </w:footnote>
  <w:footnote w:id="286">
    <w:p w:rsidR="00E26342" w:rsidRDefault="00040788">
      <w:pPr>
        <w:pStyle w:val="FootnoteText"/>
        <w:rPr>
          <w:lang w:val="pt-PT"/>
        </w:rPr>
      </w:pPr>
      <w:r>
        <w:rPr>
          <w:rStyle w:val="FootnoteReference"/>
        </w:rPr>
        <w:footnoteRef/>
      </w:r>
      <w:r>
        <w:rPr>
          <w:lang w:val="pt-PT"/>
        </w:rPr>
        <w:t xml:space="preserve"> </w:t>
      </w:r>
      <w:r>
        <w:rPr>
          <w:lang w:val="pt-PT"/>
        </w:rPr>
        <w:tab/>
      </w:r>
      <w:r>
        <w:rPr>
          <w:szCs w:val="18"/>
          <w:lang w:val="pt-PT"/>
        </w:rPr>
        <w:t xml:space="preserve">Directive </w:t>
      </w:r>
      <w:hyperlink r:id="rId402" w:history="1">
        <w:r>
          <w:rPr>
            <w:rStyle w:val="Hyperlink"/>
            <w:szCs w:val="18"/>
            <w:lang w:val="pt-PT"/>
          </w:rPr>
          <w:t>2012/18/EU</w:t>
        </w:r>
      </w:hyperlink>
      <w:r>
        <w:rPr>
          <w:szCs w:val="18"/>
          <w:lang w:val="pt-PT"/>
        </w:rPr>
        <w:t>.</w:t>
      </w:r>
    </w:p>
  </w:footnote>
  <w:footnote w:id="287">
    <w:p w:rsidR="00E26342" w:rsidRDefault="00040788">
      <w:pPr>
        <w:pStyle w:val="FootnoteText"/>
        <w:rPr>
          <w:lang w:val="pt-PT"/>
        </w:rPr>
      </w:pPr>
      <w:r>
        <w:rPr>
          <w:rStyle w:val="FootnoteReference"/>
        </w:rPr>
        <w:footnoteRef/>
      </w:r>
      <w:r>
        <w:rPr>
          <w:lang w:val="pt-PT"/>
        </w:rPr>
        <w:t xml:space="preserve"> </w:t>
      </w:r>
      <w:r>
        <w:rPr>
          <w:lang w:val="pt-PT"/>
        </w:rPr>
        <w:tab/>
        <w:t xml:space="preserve">Directive </w:t>
      </w:r>
      <w:hyperlink r:id="rId403" w:history="1">
        <w:r>
          <w:rPr>
            <w:rStyle w:val="Hyperlink"/>
            <w:lang w:val="pt-PT"/>
          </w:rPr>
          <w:t>2013/55/EU</w:t>
        </w:r>
      </w:hyperlink>
      <w:r>
        <w:rPr>
          <w:lang w:val="pt-PT"/>
        </w:rPr>
        <w:t>.</w:t>
      </w:r>
    </w:p>
  </w:footnote>
  <w:footnote w:id="288">
    <w:p w:rsidR="00E26342" w:rsidRDefault="00040788">
      <w:pPr>
        <w:pStyle w:val="FootnoteText"/>
        <w:rPr>
          <w:lang w:val="pt-PT"/>
        </w:rPr>
      </w:pPr>
      <w:r>
        <w:rPr>
          <w:rStyle w:val="FootnoteReference"/>
        </w:rPr>
        <w:footnoteRef/>
      </w:r>
      <w:r>
        <w:rPr>
          <w:lang w:val="pt-PT"/>
        </w:rPr>
        <w:t xml:space="preserve"> </w:t>
      </w:r>
      <w:r>
        <w:rPr>
          <w:lang w:val="pt-PT"/>
        </w:rPr>
        <w:tab/>
        <w:t xml:space="preserve">Directive </w:t>
      </w:r>
      <w:hyperlink r:id="rId404" w:history="1">
        <w:r>
          <w:rPr>
            <w:rStyle w:val="Hyperlink"/>
            <w:lang w:val="pt-PT"/>
          </w:rPr>
          <w:t>2011/95/EU</w:t>
        </w:r>
      </w:hyperlink>
      <w:r>
        <w:rPr>
          <w:lang w:val="pt-PT"/>
        </w:rPr>
        <w:t>.</w:t>
      </w:r>
    </w:p>
  </w:footnote>
  <w:footnote w:id="289">
    <w:p w:rsidR="00E26342" w:rsidRDefault="00040788">
      <w:pPr>
        <w:pStyle w:val="FootnoteText"/>
        <w:rPr>
          <w:lang w:val="pt-PT"/>
        </w:rPr>
      </w:pPr>
      <w:r>
        <w:rPr>
          <w:rStyle w:val="FootnoteReference"/>
        </w:rPr>
        <w:footnoteRef/>
      </w:r>
      <w:r>
        <w:rPr>
          <w:lang w:val="pt-PT"/>
        </w:rPr>
        <w:t xml:space="preserve"> </w:t>
      </w:r>
      <w:r>
        <w:rPr>
          <w:lang w:val="pt-PT"/>
        </w:rPr>
        <w:tab/>
        <w:t xml:space="preserve">Directive </w:t>
      </w:r>
      <w:hyperlink r:id="rId405" w:history="1">
        <w:r>
          <w:rPr>
            <w:rStyle w:val="Hyperlink"/>
            <w:lang w:val="pt-PT"/>
          </w:rPr>
          <w:t>2013/34/EU</w:t>
        </w:r>
      </w:hyperlink>
      <w:r>
        <w:rPr>
          <w:lang w:val="pt-PT"/>
        </w:rPr>
        <w:t>.</w:t>
      </w:r>
    </w:p>
  </w:footnote>
  <w:footnote w:id="290">
    <w:p w:rsidR="00E26342" w:rsidRDefault="00040788">
      <w:pPr>
        <w:pStyle w:val="FootnoteText"/>
        <w:rPr>
          <w:lang w:val="pt-PT"/>
        </w:rPr>
      </w:pPr>
      <w:r>
        <w:rPr>
          <w:rStyle w:val="FootnoteReference"/>
        </w:rPr>
        <w:footnoteRef/>
      </w:r>
      <w:r>
        <w:rPr>
          <w:lang w:val="pt-PT"/>
        </w:rPr>
        <w:t xml:space="preserve"> </w:t>
      </w:r>
      <w:r>
        <w:rPr>
          <w:lang w:val="pt-PT"/>
        </w:rPr>
        <w:tab/>
        <w:t xml:space="preserve">Directive </w:t>
      </w:r>
      <w:hyperlink r:id="rId406" w:history="1">
        <w:r>
          <w:rPr>
            <w:rStyle w:val="Hyperlink"/>
            <w:lang w:val="pt-PT"/>
          </w:rPr>
          <w:t>2014/91/EU</w:t>
        </w:r>
      </w:hyperlink>
      <w:r>
        <w:rPr>
          <w:lang w:val="pt-PT"/>
        </w:rPr>
        <w:t>.</w:t>
      </w:r>
    </w:p>
  </w:footnote>
  <w:footnote w:id="291">
    <w:p w:rsidR="00E26342" w:rsidRDefault="00040788">
      <w:pPr>
        <w:pStyle w:val="FootnoteText"/>
        <w:rPr>
          <w:lang w:val="pt-PT"/>
        </w:rPr>
      </w:pPr>
      <w:r>
        <w:rPr>
          <w:rStyle w:val="FootnoteReference"/>
        </w:rPr>
        <w:footnoteRef/>
      </w:r>
      <w:r>
        <w:rPr>
          <w:lang w:val="pt-PT"/>
        </w:rPr>
        <w:t xml:space="preserve"> </w:t>
      </w:r>
      <w:r>
        <w:rPr>
          <w:lang w:val="pt-PT"/>
        </w:rPr>
        <w:tab/>
        <w:t xml:space="preserve">Directive </w:t>
      </w:r>
      <w:hyperlink r:id="rId407" w:history="1">
        <w:r>
          <w:rPr>
            <w:rStyle w:val="Hyperlink"/>
            <w:lang w:val="pt-PT"/>
          </w:rPr>
          <w:t>2014/95/EU</w:t>
        </w:r>
      </w:hyperlink>
      <w:r>
        <w:rPr>
          <w:lang w:val="pt-PT"/>
        </w:rPr>
        <w:t>.</w:t>
      </w:r>
    </w:p>
  </w:footnote>
  <w:footnote w:id="292">
    <w:p w:rsidR="00E26342" w:rsidRDefault="00040788">
      <w:pPr>
        <w:pStyle w:val="FootnoteText"/>
        <w:rPr>
          <w:lang w:val="pt-PT"/>
        </w:rPr>
      </w:pPr>
      <w:r>
        <w:rPr>
          <w:rStyle w:val="FootnoteReference"/>
        </w:rPr>
        <w:footnoteRef/>
      </w:r>
      <w:r>
        <w:rPr>
          <w:lang w:val="pt-PT"/>
        </w:rPr>
        <w:t xml:space="preserve"> </w:t>
      </w:r>
      <w:r>
        <w:rPr>
          <w:lang w:val="pt-PT"/>
        </w:rPr>
        <w:tab/>
        <w:t xml:space="preserve">Directive </w:t>
      </w:r>
      <w:hyperlink r:id="rId408" w:history="1">
        <w:r>
          <w:rPr>
            <w:rStyle w:val="Hyperlink"/>
            <w:lang w:val="pt-PT"/>
          </w:rPr>
          <w:t>2014/29/EU</w:t>
        </w:r>
      </w:hyperlink>
      <w:r>
        <w:rPr>
          <w:lang w:val="pt-PT"/>
        </w:rPr>
        <w:t>.</w:t>
      </w:r>
    </w:p>
  </w:footnote>
  <w:footnote w:id="293">
    <w:p w:rsidR="00E26342" w:rsidRDefault="00040788">
      <w:pPr>
        <w:pStyle w:val="FootnoteText"/>
        <w:rPr>
          <w:lang w:val="pt-PT"/>
        </w:rPr>
      </w:pPr>
      <w:r>
        <w:rPr>
          <w:rStyle w:val="FootnoteReference"/>
        </w:rPr>
        <w:footnoteRef/>
      </w:r>
      <w:r>
        <w:rPr>
          <w:lang w:val="pt-PT"/>
        </w:rPr>
        <w:t xml:space="preserve"> </w:t>
      </w:r>
      <w:r>
        <w:rPr>
          <w:lang w:val="pt-PT"/>
        </w:rPr>
        <w:tab/>
        <w:t xml:space="preserve">Directive </w:t>
      </w:r>
      <w:hyperlink r:id="rId409" w:history="1">
        <w:r>
          <w:rPr>
            <w:rStyle w:val="Hyperlink"/>
            <w:lang w:val="pt-PT"/>
          </w:rPr>
          <w:t>2014/33/EU.</w:t>
        </w:r>
      </w:hyperlink>
    </w:p>
  </w:footnote>
  <w:footnote w:id="294">
    <w:p w:rsidR="00E26342" w:rsidRDefault="00040788">
      <w:pPr>
        <w:pStyle w:val="FootnoteText"/>
        <w:rPr>
          <w:lang w:val="pt-PT"/>
        </w:rPr>
      </w:pPr>
      <w:r>
        <w:rPr>
          <w:rStyle w:val="FootnoteReference"/>
        </w:rPr>
        <w:footnoteRef/>
      </w:r>
      <w:r>
        <w:rPr>
          <w:lang w:val="pt-PT"/>
        </w:rPr>
        <w:t xml:space="preserve"> </w:t>
      </w:r>
      <w:r>
        <w:rPr>
          <w:lang w:val="pt-PT"/>
        </w:rPr>
        <w:tab/>
        <w:t xml:space="preserve">Directive </w:t>
      </w:r>
      <w:hyperlink r:id="rId410" w:history="1">
        <w:r>
          <w:rPr>
            <w:rStyle w:val="Hyperlink"/>
            <w:lang w:val="pt-PT"/>
          </w:rPr>
          <w:t>2014/35/EU</w:t>
        </w:r>
      </w:hyperlink>
      <w:r>
        <w:rPr>
          <w:lang w:val="pt-PT"/>
        </w:rPr>
        <w:t>.</w:t>
      </w:r>
    </w:p>
  </w:footnote>
  <w:footnote w:id="295">
    <w:p w:rsidR="00E26342" w:rsidRDefault="00040788">
      <w:pPr>
        <w:pStyle w:val="FootnoteText"/>
        <w:rPr>
          <w:lang w:val="pt-PT"/>
        </w:rPr>
      </w:pPr>
      <w:r>
        <w:rPr>
          <w:rStyle w:val="FootnoteReference"/>
        </w:rPr>
        <w:footnoteRef/>
      </w:r>
      <w:r>
        <w:rPr>
          <w:lang w:val="pt-PT"/>
        </w:rPr>
        <w:t xml:space="preserve"> </w:t>
      </w:r>
      <w:r>
        <w:rPr>
          <w:lang w:val="pt-PT"/>
        </w:rPr>
        <w:tab/>
        <w:t xml:space="preserve">Directive </w:t>
      </w:r>
      <w:hyperlink r:id="rId411" w:history="1">
        <w:r>
          <w:rPr>
            <w:rStyle w:val="Hyperlink"/>
            <w:lang w:val="pt-PT"/>
          </w:rPr>
          <w:t>2014/32/EU</w:t>
        </w:r>
      </w:hyperlink>
      <w:r>
        <w:rPr>
          <w:lang w:val="pt-PT"/>
        </w:rPr>
        <w:t>.</w:t>
      </w:r>
    </w:p>
  </w:footnote>
  <w:footnote w:id="296">
    <w:p w:rsidR="00E26342" w:rsidRDefault="00040788">
      <w:pPr>
        <w:pStyle w:val="FootnoteText"/>
        <w:rPr>
          <w:lang w:val="pt-PT"/>
        </w:rPr>
      </w:pPr>
      <w:r>
        <w:rPr>
          <w:rStyle w:val="FootnoteReference"/>
        </w:rPr>
        <w:footnoteRef/>
      </w:r>
      <w:r>
        <w:rPr>
          <w:lang w:val="pt-PT"/>
        </w:rPr>
        <w:t xml:space="preserve"> </w:t>
      </w:r>
      <w:r>
        <w:rPr>
          <w:lang w:val="pt-PT"/>
        </w:rPr>
        <w:tab/>
        <w:t xml:space="preserve">Directive </w:t>
      </w:r>
      <w:hyperlink r:id="rId412" w:history="1">
        <w:r>
          <w:rPr>
            <w:rStyle w:val="Hyperlink"/>
            <w:lang w:val="pt-PT"/>
          </w:rPr>
          <w:t>2014/60/EU</w:t>
        </w:r>
      </w:hyperlink>
      <w:r>
        <w:rPr>
          <w:lang w:val="pt-PT"/>
        </w:rPr>
        <w:t>.</w:t>
      </w:r>
    </w:p>
  </w:footnote>
  <w:footnote w:id="297">
    <w:p w:rsidR="00E26342" w:rsidRDefault="00040788">
      <w:pPr>
        <w:pStyle w:val="FootnoteText"/>
        <w:rPr>
          <w:lang w:val="pt-PT"/>
        </w:rPr>
      </w:pPr>
      <w:r>
        <w:rPr>
          <w:rStyle w:val="FootnoteReference"/>
        </w:rPr>
        <w:footnoteRef/>
      </w:r>
      <w:r>
        <w:rPr>
          <w:lang w:val="pt-PT"/>
        </w:rPr>
        <w:t xml:space="preserve"> </w:t>
      </w:r>
      <w:r>
        <w:rPr>
          <w:lang w:val="pt-PT"/>
        </w:rPr>
        <w:tab/>
        <w:t xml:space="preserve">Directive </w:t>
      </w:r>
      <w:hyperlink r:id="rId413" w:history="1">
        <w:r>
          <w:rPr>
            <w:rStyle w:val="Hyperlink"/>
            <w:lang w:val="pt-PT"/>
          </w:rPr>
          <w:t>2014/31/EU</w:t>
        </w:r>
      </w:hyperlink>
      <w:r>
        <w:rPr>
          <w:lang w:val="pt-PT"/>
        </w:rPr>
        <w:t>.</w:t>
      </w:r>
    </w:p>
  </w:footnote>
  <w:footnote w:id="298">
    <w:p w:rsidR="00E26342" w:rsidRDefault="00040788">
      <w:pPr>
        <w:pStyle w:val="FootnoteText"/>
        <w:rPr>
          <w:lang w:val="pt-PT"/>
        </w:rPr>
      </w:pPr>
      <w:r>
        <w:rPr>
          <w:rStyle w:val="FootnoteReference"/>
        </w:rPr>
        <w:footnoteRef/>
      </w:r>
      <w:r>
        <w:rPr>
          <w:lang w:val="pt-PT"/>
        </w:rPr>
        <w:t xml:space="preserve"> </w:t>
      </w:r>
      <w:r>
        <w:rPr>
          <w:lang w:val="pt-PT"/>
        </w:rPr>
        <w:tab/>
        <w:t>Directive</w:t>
      </w:r>
      <w:r>
        <w:rPr>
          <w:rFonts w:eastAsia="Calibri"/>
          <w:kern w:val="20"/>
          <w:sz w:val="20"/>
          <w:lang w:val="pt-PT"/>
        </w:rPr>
        <w:t xml:space="preserve"> </w:t>
      </w:r>
      <w:hyperlink r:id="rId414" w:history="1">
        <w:r>
          <w:rPr>
            <w:rStyle w:val="Hyperlink"/>
            <w:lang w:val="pt-PT"/>
          </w:rPr>
          <w:t>2015/2087/EU</w:t>
        </w:r>
      </w:hyperlink>
      <w:r>
        <w:rPr>
          <w:lang w:val="pt-PT"/>
        </w:rPr>
        <w:t xml:space="preserve"> amending Directive </w:t>
      </w:r>
      <w:hyperlink r:id="rId415" w:history="1">
        <w:r>
          <w:rPr>
            <w:rStyle w:val="Hyperlink"/>
            <w:lang w:val="pt-PT"/>
          </w:rPr>
          <w:t>2000/59/EC</w:t>
        </w:r>
      </w:hyperlink>
      <w:r>
        <w:rPr>
          <w:lang w:val="pt-PT"/>
        </w:rPr>
        <w:t>.</w:t>
      </w:r>
    </w:p>
  </w:footnote>
  <w:footnote w:id="299">
    <w:p w:rsidR="00E26342" w:rsidRDefault="00040788">
      <w:pPr>
        <w:pStyle w:val="FootnoteText"/>
        <w:rPr>
          <w:lang w:val="pt-PT"/>
        </w:rPr>
      </w:pPr>
      <w:r>
        <w:rPr>
          <w:rStyle w:val="FootnoteReference"/>
        </w:rPr>
        <w:footnoteRef/>
      </w:r>
      <w:r>
        <w:rPr>
          <w:lang w:val="pt-PT"/>
        </w:rPr>
        <w:t xml:space="preserve"> </w:t>
      </w:r>
      <w:r>
        <w:rPr>
          <w:lang w:val="pt-PT"/>
        </w:rPr>
        <w:tab/>
      </w:r>
      <w:r>
        <w:rPr>
          <w:lang w:val="pt-PT"/>
        </w:rPr>
        <w:t xml:space="preserve">Directive </w:t>
      </w:r>
      <w:hyperlink r:id="rId416" w:history="1">
        <w:r>
          <w:rPr>
            <w:rStyle w:val="Hyperlink"/>
            <w:lang w:val="pt-PT"/>
          </w:rPr>
          <w:t>2013/53/EU</w:t>
        </w:r>
      </w:hyperlink>
      <w:r>
        <w:rPr>
          <w:lang w:val="pt-PT"/>
        </w:rPr>
        <w:t>.</w:t>
      </w:r>
    </w:p>
  </w:footnote>
  <w:footnote w:id="300">
    <w:p w:rsidR="00E26342" w:rsidRDefault="00040788">
      <w:pPr>
        <w:pStyle w:val="FootnoteText"/>
        <w:rPr>
          <w:lang w:val="pt-PT"/>
        </w:rPr>
      </w:pPr>
      <w:r>
        <w:rPr>
          <w:rStyle w:val="FootnoteReference"/>
        </w:rPr>
        <w:footnoteRef/>
      </w:r>
      <w:r>
        <w:rPr>
          <w:lang w:val="pt-PT"/>
        </w:rPr>
        <w:t xml:space="preserve"> </w:t>
      </w:r>
      <w:r>
        <w:rPr>
          <w:lang w:val="pt-PT"/>
        </w:rPr>
        <w:tab/>
      </w:r>
      <w:hyperlink r:id="rId417" w:history="1">
        <w:r>
          <w:rPr>
            <w:rStyle w:val="Hyperlink"/>
            <w:lang w:val="pt-PT"/>
          </w:rPr>
          <w:t>MEMO/17/1577</w:t>
        </w:r>
      </w:hyperlink>
      <w:r>
        <w:rPr>
          <w:lang w:val="pt-PT"/>
        </w:rPr>
        <w:t>.</w:t>
      </w:r>
    </w:p>
  </w:footnote>
  <w:footnote w:id="301">
    <w:p w:rsidR="00E26342" w:rsidRDefault="00040788">
      <w:pPr>
        <w:pStyle w:val="FootnoteText"/>
        <w:rPr>
          <w:lang w:val="pt-PT"/>
        </w:rPr>
      </w:pPr>
      <w:r>
        <w:rPr>
          <w:rStyle w:val="FootnoteReference"/>
        </w:rPr>
        <w:footnoteRef/>
      </w:r>
      <w:r>
        <w:rPr>
          <w:lang w:val="pt-PT"/>
        </w:rPr>
        <w:t xml:space="preserve"> </w:t>
      </w:r>
      <w:r>
        <w:rPr>
          <w:lang w:val="pt-PT"/>
        </w:rPr>
        <w:tab/>
        <w:t xml:space="preserve">Directive </w:t>
      </w:r>
      <w:hyperlink r:id="rId418" w:history="1">
        <w:r>
          <w:rPr>
            <w:rStyle w:val="Hyperlink"/>
            <w:lang w:val="pt-PT"/>
          </w:rPr>
          <w:t>2014/94/EU</w:t>
        </w:r>
      </w:hyperlink>
      <w:r>
        <w:rPr>
          <w:lang w:val="pt-PT"/>
        </w:rPr>
        <w:t>.</w:t>
      </w:r>
    </w:p>
  </w:footnote>
  <w:footnote w:id="302">
    <w:p w:rsidR="00E26342" w:rsidRDefault="00040788">
      <w:pPr>
        <w:pStyle w:val="FootnoteText"/>
        <w:rPr>
          <w:lang w:val="pt-PT"/>
        </w:rPr>
      </w:pPr>
      <w:r>
        <w:rPr>
          <w:rStyle w:val="FootnoteReference"/>
        </w:rPr>
        <w:footnoteRef/>
      </w:r>
      <w:r>
        <w:rPr>
          <w:lang w:val="pt-PT"/>
        </w:rPr>
        <w:t xml:space="preserve"> </w:t>
      </w:r>
      <w:r>
        <w:rPr>
          <w:lang w:val="pt-PT"/>
        </w:rPr>
        <w:tab/>
        <w:t>Persons caring for children in a family-like environment (in SOS Children’s villages, for example).</w:t>
      </w:r>
    </w:p>
  </w:footnote>
  <w:footnote w:id="303">
    <w:p w:rsidR="00E26342" w:rsidRDefault="00040788">
      <w:pPr>
        <w:pStyle w:val="FootnoteText"/>
        <w:rPr>
          <w:lang w:val="fi-FI"/>
        </w:rPr>
      </w:pPr>
      <w:r>
        <w:rPr>
          <w:rStyle w:val="FootnoteReference"/>
        </w:rPr>
        <w:footnoteRef/>
      </w:r>
      <w:r>
        <w:rPr>
          <w:lang w:val="fi-FI"/>
        </w:rPr>
        <w:t xml:space="preserve"> </w:t>
      </w:r>
      <w:r>
        <w:rPr>
          <w:lang w:val="fi-FI"/>
        </w:rPr>
        <w:tab/>
        <w:t xml:space="preserve">Hälvä, </w:t>
      </w:r>
      <w:hyperlink r:id="rId419" w:history="1">
        <w:r>
          <w:rPr>
            <w:rStyle w:val="Hyperlink"/>
            <w:lang w:val="fi-FI"/>
          </w:rPr>
          <w:t>C-175/16</w:t>
        </w:r>
      </w:hyperlink>
      <w:r>
        <w:rPr>
          <w:lang w:val="fi-FI"/>
        </w:rPr>
        <w:t>.</w:t>
      </w:r>
    </w:p>
  </w:footnote>
  <w:footnote w:id="304">
    <w:p w:rsidR="00E26342" w:rsidRDefault="00040788">
      <w:pPr>
        <w:pStyle w:val="FootnoteText"/>
        <w:rPr>
          <w:lang w:val="fi-FI"/>
        </w:rPr>
      </w:pPr>
      <w:r>
        <w:rPr>
          <w:rStyle w:val="FootnoteReference"/>
        </w:rPr>
        <w:footnoteRef/>
      </w:r>
      <w:r>
        <w:rPr>
          <w:lang w:val="fi-FI"/>
        </w:rPr>
        <w:t xml:space="preserve"> </w:t>
      </w:r>
      <w:r>
        <w:rPr>
          <w:lang w:val="fi-FI"/>
        </w:rPr>
        <w:tab/>
        <w:t xml:space="preserve">Ilves Jakelu, </w:t>
      </w:r>
      <w:hyperlink r:id="rId420" w:history="1">
        <w:r>
          <w:rPr>
            <w:rStyle w:val="Hyperlink"/>
            <w:lang w:val="fi-FI"/>
          </w:rPr>
          <w:t>C-368/15</w:t>
        </w:r>
      </w:hyperlink>
      <w:r>
        <w:rPr>
          <w:lang w:val="fi-FI"/>
        </w:rPr>
        <w:t>.</w:t>
      </w:r>
    </w:p>
  </w:footnote>
  <w:footnote w:id="305">
    <w:p w:rsidR="00E26342" w:rsidRDefault="00040788">
      <w:pPr>
        <w:pStyle w:val="FootnoteText"/>
        <w:rPr>
          <w:lang w:val="pt-PT"/>
        </w:rPr>
      </w:pPr>
      <w:r>
        <w:rPr>
          <w:rStyle w:val="FootnoteReference"/>
        </w:rPr>
        <w:footnoteRef/>
      </w:r>
      <w:r>
        <w:rPr>
          <w:lang w:val="pt-PT"/>
        </w:rPr>
        <w:t xml:space="preserve"> </w:t>
      </w:r>
      <w:r>
        <w:rPr>
          <w:lang w:val="pt-PT"/>
        </w:rPr>
        <w:tab/>
      </w:r>
      <w:hyperlink r:id="rId421" w:history="1">
        <w:r>
          <w:rPr>
            <w:rStyle w:val="Hyperlink"/>
            <w:lang w:val="pt-PT"/>
          </w:rPr>
          <w:t>MEMO/17/1281</w:t>
        </w:r>
      </w:hyperlink>
      <w:r>
        <w:rPr>
          <w:lang w:val="pt-PT"/>
        </w:rPr>
        <w:t>.</w:t>
      </w:r>
    </w:p>
  </w:footnote>
  <w:footnote w:id="306">
    <w:p w:rsidR="00E26342" w:rsidRDefault="00040788">
      <w:pPr>
        <w:pStyle w:val="FootnoteText"/>
        <w:rPr>
          <w:lang w:val="pt-PT"/>
        </w:rPr>
      </w:pPr>
      <w:r>
        <w:rPr>
          <w:rStyle w:val="FootnoteReference"/>
        </w:rPr>
        <w:footnoteRef/>
      </w:r>
      <w:r>
        <w:rPr>
          <w:lang w:val="pt-PT"/>
        </w:rPr>
        <w:t xml:space="preserve"> </w:t>
      </w:r>
      <w:r>
        <w:rPr>
          <w:lang w:val="pt-PT"/>
        </w:rPr>
        <w:tab/>
        <w:t xml:space="preserve">Directive </w:t>
      </w:r>
      <w:hyperlink r:id="rId422" w:history="1">
        <w:r>
          <w:rPr>
            <w:rStyle w:val="Hyperlink"/>
            <w:lang w:val="pt-PT"/>
          </w:rPr>
          <w:t>2009/72/EC</w:t>
        </w:r>
      </w:hyperlink>
      <w:r>
        <w:rPr>
          <w:lang w:val="pt-PT"/>
        </w:rPr>
        <w:t xml:space="preserve">, </w:t>
      </w:r>
      <w:hyperlink r:id="rId423" w:history="1">
        <w:r>
          <w:rPr>
            <w:rStyle w:val="Hyperlink"/>
            <w:lang w:val="pt-PT"/>
          </w:rPr>
          <w:t>MEMO/17/4767</w:t>
        </w:r>
      </w:hyperlink>
      <w:r>
        <w:rPr>
          <w:lang w:val="pt-PT"/>
        </w:rPr>
        <w:t>.</w:t>
      </w:r>
    </w:p>
  </w:footnote>
  <w:footnote w:id="307">
    <w:p w:rsidR="00E26342" w:rsidRDefault="00040788">
      <w:pPr>
        <w:pStyle w:val="FootnoteText"/>
        <w:rPr>
          <w:lang w:val="pt-PT"/>
        </w:rPr>
      </w:pPr>
      <w:r>
        <w:rPr>
          <w:rStyle w:val="FootnoteReference"/>
        </w:rPr>
        <w:footnoteRef/>
      </w:r>
      <w:r>
        <w:rPr>
          <w:lang w:val="pt-PT"/>
        </w:rPr>
        <w:t xml:space="preserve"> </w:t>
      </w:r>
      <w:r>
        <w:rPr>
          <w:lang w:val="pt-PT"/>
        </w:rPr>
        <w:tab/>
        <w:t xml:space="preserve">Directive </w:t>
      </w:r>
      <w:hyperlink r:id="rId424" w:history="1">
        <w:r>
          <w:rPr>
            <w:rStyle w:val="Hyperlink"/>
            <w:lang w:val="pt-PT"/>
          </w:rPr>
          <w:t>2014/65/EU</w:t>
        </w:r>
      </w:hyperlink>
      <w:r>
        <w:rPr>
          <w:lang w:val="pt-PT"/>
        </w:rPr>
        <w:t>.</w:t>
      </w:r>
    </w:p>
  </w:footnote>
  <w:footnote w:id="308">
    <w:p w:rsidR="00E26342" w:rsidRDefault="00040788">
      <w:pPr>
        <w:pStyle w:val="FootnoteText"/>
        <w:rPr>
          <w:lang w:val="pt-PT"/>
        </w:rPr>
      </w:pPr>
      <w:r>
        <w:rPr>
          <w:rStyle w:val="FootnoteReference"/>
        </w:rPr>
        <w:footnoteRef/>
      </w:r>
      <w:r>
        <w:rPr>
          <w:lang w:val="pt-PT"/>
        </w:rPr>
        <w:t xml:space="preserve"> </w:t>
      </w:r>
      <w:r>
        <w:rPr>
          <w:lang w:val="pt-PT"/>
        </w:rPr>
        <w:tab/>
        <w:t xml:space="preserve">Directive (EU) </w:t>
      </w:r>
      <w:hyperlink r:id="rId425" w:history="1">
        <w:r>
          <w:rPr>
            <w:rStyle w:val="Hyperlink"/>
            <w:lang w:val="pt-PT"/>
          </w:rPr>
          <w:t>2015/652.</w:t>
        </w:r>
      </w:hyperlink>
    </w:p>
  </w:footnote>
  <w:footnote w:id="309">
    <w:p w:rsidR="00E26342" w:rsidRDefault="00040788">
      <w:pPr>
        <w:pStyle w:val="FootnoteText"/>
        <w:rPr>
          <w:lang w:val="pt-PT"/>
        </w:rPr>
      </w:pPr>
      <w:r>
        <w:rPr>
          <w:rStyle w:val="FootnoteReference"/>
        </w:rPr>
        <w:footnoteRef/>
      </w:r>
      <w:r>
        <w:rPr>
          <w:lang w:val="pt-PT"/>
        </w:rPr>
        <w:t xml:space="preserve"> </w:t>
      </w:r>
      <w:r>
        <w:rPr>
          <w:lang w:val="pt-PT"/>
        </w:rPr>
        <w:tab/>
        <w:t xml:space="preserve">Directive </w:t>
      </w:r>
      <w:hyperlink r:id="rId426" w:history="1">
        <w:r>
          <w:rPr>
            <w:rStyle w:val="Hyperlink"/>
            <w:lang w:val="pt-PT"/>
          </w:rPr>
          <w:t>98/70/EC</w:t>
        </w:r>
      </w:hyperlink>
      <w:r>
        <w:rPr>
          <w:lang w:val="pt-PT"/>
        </w:rPr>
        <w:t>.</w:t>
      </w:r>
    </w:p>
  </w:footnote>
  <w:footnote w:id="310">
    <w:p w:rsidR="00E26342" w:rsidRDefault="00040788">
      <w:pPr>
        <w:pStyle w:val="FootnoteText"/>
        <w:rPr>
          <w:lang w:val="pt-PT"/>
        </w:rPr>
      </w:pPr>
      <w:r>
        <w:rPr>
          <w:rStyle w:val="FootnoteReference"/>
        </w:rPr>
        <w:footnoteRef/>
      </w:r>
      <w:r>
        <w:rPr>
          <w:lang w:val="pt-PT"/>
        </w:rPr>
        <w:t xml:space="preserve"> </w:t>
      </w:r>
      <w:r>
        <w:rPr>
          <w:lang w:val="pt-PT"/>
        </w:rPr>
        <w:tab/>
        <w:t xml:space="preserve">Directives </w:t>
      </w:r>
      <w:hyperlink r:id="rId427" w:history="1">
        <w:r>
          <w:rPr>
            <w:rStyle w:val="Hyperlink"/>
            <w:lang w:val="pt-PT"/>
          </w:rPr>
          <w:t>2014/66/EU</w:t>
        </w:r>
      </w:hyperlink>
      <w:r>
        <w:rPr>
          <w:lang w:val="pt-PT"/>
        </w:rPr>
        <w:t xml:space="preserve"> and </w:t>
      </w:r>
      <w:hyperlink r:id="rId428" w:history="1">
        <w:r>
          <w:rPr>
            <w:rStyle w:val="Hyperlink"/>
            <w:lang w:val="pt-PT"/>
          </w:rPr>
          <w:t>2014/36/EU</w:t>
        </w:r>
      </w:hyperlink>
      <w:r>
        <w:rPr>
          <w:lang w:val="pt-PT"/>
        </w:rPr>
        <w:t xml:space="preserve">; </w:t>
      </w:r>
      <w:hyperlink r:id="rId429" w:history="1">
        <w:r>
          <w:rPr>
            <w:rStyle w:val="Hyperlink"/>
            <w:lang w:val="pt-PT"/>
          </w:rPr>
          <w:t>MEMO/17/3494</w:t>
        </w:r>
      </w:hyperlink>
      <w:r>
        <w:rPr>
          <w:lang w:val="pt-PT"/>
        </w:rPr>
        <w:t xml:space="preserve"> and </w:t>
      </w:r>
      <w:hyperlink r:id="rId430" w:history="1">
        <w:r>
          <w:rPr>
            <w:rStyle w:val="Hyperlink"/>
            <w:lang w:val="pt-PT"/>
          </w:rPr>
          <w:t>MEMO/17/1935</w:t>
        </w:r>
      </w:hyperlink>
      <w:r>
        <w:rPr>
          <w:lang w:val="pt-PT"/>
        </w:rPr>
        <w:t>.</w:t>
      </w:r>
    </w:p>
  </w:footnote>
  <w:footnote w:id="311">
    <w:p w:rsidR="00E26342" w:rsidRDefault="00040788">
      <w:pPr>
        <w:pStyle w:val="FootnoteText"/>
        <w:rPr>
          <w:lang w:val="pt-PT"/>
        </w:rPr>
      </w:pPr>
      <w:r>
        <w:rPr>
          <w:rStyle w:val="FootnoteReference"/>
        </w:rPr>
        <w:footnoteRef/>
      </w:r>
      <w:r>
        <w:rPr>
          <w:lang w:val="pt-PT"/>
        </w:rPr>
        <w:t xml:space="preserve"> </w:t>
      </w:r>
      <w:r>
        <w:rPr>
          <w:lang w:val="pt-PT"/>
        </w:rPr>
        <w:tab/>
        <w:t xml:space="preserve">Directive </w:t>
      </w:r>
      <w:hyperlink r:id="rId431" w:history="1">
        <w:r>
          <w:rPr>
            <w:rStyle w:val="Hyperlink"/>
            <w:lang w:val="pt-PT"/>
          </w:rPr>
          <w:t>2010/31/EU</w:t>
        </w:r>
      </w:hyperlink>
      <w:r>
        <w:rPr>
          <w:lang w:val="pt-PT"/>
        </w:rPr>
        <w:t>.</w:t>
      </w:r>
    </w:p>
  </w:footnote>
  <w:footnote w:id="312">
    <w:p w:rsidR="00E26342" w:rsidRDefault="00040788">
      <w:pPr>
        <w:pStyle w:val="FootnoteText"/>
        <w:rPr>
          <w:lang w:val="pt-PT"/>
        </w:rPr>
      </w:pPr>
      <w:r>
        <w:rPr>
          <w:rStyle w:val="FootnoteReference"/>
        </w:rPr>
        <w:footnoteRef/>
      </w:r>
      <w:r>
        <w:rPr>
          <w:lang w:val="pt-PT"/>
        </w:rPr>
        <w:t xml:space="preserve"> </w:t>
      </w:r>
      <w:r>
        <w:rPr>
          <w:lang w:val="pt-PT"/>
        </w:rPr>
        <w:tab/>
      </w:r>
      <w:hyperlink r:id="rId432" w:history="1">
        <w:r>
          <w:rPr>
            <w:rStyle w:val="Hyperlink"/>
            <w:lang w:val="pt-PT"/>
          </w:rPr>
          <w:t>IP/17/5109</w:t>
        </w:r>
      </w:hyperlink>
      <w:r>
        <w:rPr>
          <w:lang w:val="pt-PT"/>
        </w:rPr>
        <w:t>.</w:t>
      </w:r>
    </w:p>
  </w:footnote>
  <w:footnote w:id="313">
    <w:p w:rsidR="00E26342" w:rsidRDefault="00040788">
      <w:pPr>
        <w:pStyle w:val="FootnoteText"/>
        <w:rPr>
          <w:lang w:val="pt-PT"/>
        </w:rPr>
      </w:pPr>
      <w:r>
        <w:rPr>
          <w:rStyle w:val="FootnoteReference"/>
        </w:rPr>
        <w:footnoteRef/>
      </w:r>
      <w:r>
        <w:rPr>
          <w:lang w:val="pt-PT"/>
        </w:rPr>
        <w:t xml:space="preserve"> </w:t>
      </w:r>
      <w:r>
        <w:rPr>
          <w:lang w:val="pt-PT"/>
        </w:rPr>
        <w:tab/>
        <w:t xml:space="preserve">Directive </w:t>
      </w:r>
      <w:hyperlink r:id="rId433" w:history="1">
        <w:r>
          <w:rPr>
            <w:rStyle w:val="Hyperlink"/>
            <w:lang w:val="pt-PT"/>
          </w:rPr>
          <w:t>2015/719/EU</w:t>
        </w:r>
      </w:hyperlink>
      <w:r>
        <w:rPr>
          <w:rFonts w:ascii="Lucida Sans Unicode" w:hAnsi="Lucida Sans Unicode"/>
          <w:b/>
          <w:color w:val="444444"/>
          <w:sz w:val="19"/>
          <w:lang w:val="pt-PT"/>
        </w:rPr>
        <w:t xml:space="preserve"> </w:t>
      </w:r>
      <w:r>
        <w:rPr>
          <w:lang w:val="pt-PT"/>
        </w:rPr>
        <w:t xml:space="preserve">amending Council Directive </w:t>
      </w:r>
      <w:hyperlink r:id="rId434" w:history="1">
        <w:r>
          <w:rPr>
            <w:rStyle w:val="Hyperlink"/>
            <w:lang w:val="pt-PT"/>
          </w:rPr>
          <w:t>96/53/EC</w:t>
        </w:r>
      </w:hyperlink>
      <w:r>
        <w:rPr>
          <w:lang w:val="pt-PT"/>
        </w:rPr>
        <w:t>.</w:t>
      </w:r>
    </w:p>
  </w:footnote>
  <w:footnote w:id="314">
    <w:p w:rsidR="00E26342" w:rsidRDefault="00040788">
      <w:pPr>
        <w:pStyle w:val="FootnoteText"/>
        <w:rPr>
          <w:lang w:val="pt-PT"/>
        </w:rPr>
      </w:pPr>
      <w:r>
        <w:rPr>
          <w:rStyle w:val="FootnoteReference"/>
        </w:rPr>
        <w:footnoteRef/>
      </w:r>
      <w:r>
        <w:rPr>
          <w:lang w:val="pt-PT"/>
        </w:rPr>
        <w:t xml:space="preserve"> </w:t>
      </w:r>
      <w:r>
        <w:rPr>
          <w:lang w:val="pt-PT"/>
        </w:rPr>
        <w:tab/>
        <w:t xml:space="preserve">Directives </w:t>
      </w:r>
      <w:hyperlink r:id="rId435" w:history="1">
        <w:r>
          <w:rPr>
            <w:rStyle w:val="Hyperlink"/>
            <w:lang w:val="pt-PT"/>
          </w:rPr>
          <w:t>2013/50/EU</w:t>
        </w:r>
      </w:hyperlink>
      <w:r>
        <w:rPr>
          <w:lang w:val="pt-PT"/>
        </w:rPr>
        <w:t xml:space="preserve">, </w:t>
      </w:r>
      <w:hyperlink r:id="rId436" w:history="1">
        <w:r>
          <w:rPr>
            <w:rStyle w:val="Hyperlink"/>
            <w:lang w:val="pt-PT"/>
          </w:rPr>
          <w:t>2014/49/EU</w:t>
        </w:r>
      </w:hyperlink>
      <w:r>
        <w:rPr>
          <w:lang w:val="pt-PT"/>
        </w:rPr>
        <w:t xml:space="preserve">, </w:t>
      </w:r>
      <w:hyperlink r:id="rId437" w:history="1">
        <w:r>
          <w:rPr>
            <w:rStyle w:val="Hyperlink"/>
            <w:lang w:val="pt-PT"/>
          </w:rPr>
          <w:t>2014/59/EU</w:t>
        </w:r>
      </w:hyperlink>
      <w:r>
        <w:rPr>
          <w:lang w:val="pt-PT"/>
        </w:rPr>
        <w:t xml:space="preserve">, </w:t>
      </w:r>
      <w:hyperlink r:id="rId438" w:history="1">
        <w:r>
          <w:rPr>
            <w:rStyle w:val="Hyperlink"/>
            <w:lang w:val="pt-PT"/>
          </w:rPr>
          <w:t>2014/91/EU</w:t>
        </w:r>
      </w:hyperlink>
      <w:r>
        <w:rPr>
          <w:rStyle w:val="Hyperlink"/>
          <w:lang w:val="pt-PT"/>
        </w:rPr>
        <w:t xml:space="preserve"> </w:t>
      </w:r>
      <w:r>
        <w:rPr>
          <w:lang w:val="pt-PT"/>
        </w:rPr>
        <w:t xml:space="preserve">and </w:t>
      </w:r>
      <w:hyperlink r:id="rId439" w:history="1">
        <w:r>
          <w:rPr>
            <w:rStyle w:val="Hyperlink"/>
            <w:lang w:val="pt-PT"/>
          </w:rPr>
          <w:t>2013/34/EU</w:t>
        </w:r>
      </w:hyperlink>
      <w:r>
        <w:rPr>
          <w:lang w:val="pt-PT"/>
        </w:rPr>
        <w:t>.</w:t>
      </w:r>
    </w:p>
  </w:footnote>
  <w:footnote w:id="315">
    <w:p w:rsidR="00E26342" w:rsidRDefault="00040788">
      <w:pPr>
        <w:pStyle w:val="FootnoteText"/>
        <w:rPr>
          <w:sz w:val="20"/>
        </w:rPr>
      </w:pPr>
      <w:r>
        <w:rPr>
          <w:rStyle w:val="FootnoteReference"/>
        </w:rPr>
        <w:footnoteRef/>
      </w:r>
      <w:r>
        <w:t xml:space="preserve"> </w:t>
      </w:r>
      <w:r>
        <w:tab/>
        <w:t>These rulings are almost exclusively handed down on infringement procedures.</w:t>
      </w:r>
    </w:p>
  </w:footnote>
  <w:footnote w:id="316">
    <w:p w:rsidR="00E26342" w:rsidRDefault="00040788">
      <w:pPr>
        <w:pStyle w:val="FootnoteText"/>
      </w:pPr>
      <w:r>
        <w:rPr>
          <w:rStyle w:val="FootnoteReference"/>
        </w:rPr>
        <w:footnoteRef/>
      </w:r>
      <w:r>
        <w:t xml:space="preserve"> </w:t>
      </w:r>
      <w:r>
        <w:tab/>
        <w:t xml:space="preserve">Tele2 Sverige and Watson and Others, </w:t>
      </w:r>
      <w:hyperlink r:id="rId440" w:history="1">
        <w:r>
          <w:rPr>
            <w:rStyle w:val="Hyperlink"/>
          </w:rPr>
          <w:t>C</w:t>
        </w:r>
        <w:r>
          <w:rPr>
            <w:rStyle w:val="Hyperlink"/>
            <w:rFonts w:ascii="MS Gothic" w:eastAsia="MS Gothic" w:hAnsi="MS Gothic" w:cs="MS Gothic" w:hint="eastAsia"/>
          </w:rPr>
          <w:t>‑</w:t>
        </w:r>
        <w:r>
          <w:rPr>
            <w:rStyle w:val="Hyperlink"/>
          </w:rPr>
          <w:t>203/15</w:t>
        </w:r>
      </w:hyperlink>
      <w:r>
        <w:t xml:space="preserve"> and </w:t>
      </w:r>
      <w:hyperlink r:id="rId441" w:history="1">
        <w:r>
          <w:rPr>
            <w:rStyle w:val="Hyperlink"/>
          </w:rPr>
          <w:t>C-698/15</w:t>
        </w:r>
      </w:hyperlink>
      <w:r>
        <w:t>.</w:t>
      </w:r>
    </w:p>
  </w:footnote>
  <w:footnote w:id="317">
    <w:p w:rsidR="00E26342" w:rsidRDefault="00040788">
      <w:pPr>
        <w:pStyle w:val="FootnoteText"/>
        <w:rPr>
          <w:lang w:val="de-DE"/>
        </w:rPr>
      </w:pPr>
      <w:r>
        <w:rPr>
          <w:rStyle w:val="FootnoteReference"/>
        </w:rPr>
        <w:footnoteRef/>
      </w:r>
      <w:r>
        <w:rPr>
          <w:lang w:val="de-DE"/>
        </w:rPr>
        <w:t xml:space="preserve"> </w:t>
      </w:r>
      <w:r>
        <w:rPr>
          <w:lang w:val="de-DE"/>
        </w:rPr>
        <w:tab/>
        <w:t xml:space="preserve">E.ON Biofor Sverige AB, </w:t>
      </w:r>
      <w:hyperlink r:id="rId442" w:history="1">
        <w:r>
          <w:rPr>
            <w:rStyle w:val="Hyperlink"/>
            <w:lang w:val="de-DE"/>
          </w:rPr>
          <w:t>C-549/15</w:t>
        </w:r>
      </w:hyperlink>
      <w:r>
        <w:rPr>
          <w:lang w:val="de-DE"/>
        </w:rPr>
        <w:t>.</w:t>
      </w:r>
    </w:p>
  </w:footnote>
  <w:footnote w:id="318">
    <w:p w:rsidR="00E26342" w:rsidRDefault="00040788">
      <w:pPr>
        <w:pStyle w:val="FootnoteText"/>
        <w:rPr>
          <w:strike/>
        </w:rPr>
      </w:pPr>
      <w:r>
        <w:rPr>
          <w:rStyle w:val="FootnoteReference"/>
        </w:rPr>
        <w:footnoteRef/>
      </w:r>
      <w:r>
        <w:t xml:space="preserve"> </w:t>
      </w:r>
      <w:r>
        <w:tab/>
        <w:t xml:space="preserve">Directive </w:t>
      </w:r>
      <w:hyperlink r:id="rId443" w:history="1">
        <w:r>
          <w:rPr>
            <w:rStyle w:val="Hyperlink"/>
          </w:rPr>
          <w:t>2008/50/EC</w:t>
        </w:r>
      </w:hyperlink>
      <w:r>
        <w:t xml:space="preserve"> and </w:t>
      </w:r>
      <w:hyperlink r:id="rId444" w:history="1">
        <w:r>
          <w:rPr>
            <w:rStyle w:val="Hyperlink"/>
          </w:rPr>
          <w:t>IP/17/238</w:t>
        </w:r>
      </w:hyperlink>
      <w:r>
        <w:t>.</w:t>
      </w:r>
    </w:p>
  </w:footnote>
  <w:footnote w:id="319">
    <w:p w:rsidR="00E26342" w:rsidRDefault="00040788">
      <w:pPr>
        <w:pStyle w:val="FootnoteText"/>
      </w:pPr>
      <w:r>
        <w:rPr>
          <w:rStyle w:val="FootnoteReference"/>
          <w:szCs w:val="18"/>
        </w:rPr>
        <w:footnoteRef/>
      </w:r>
      <w:r>
        <w:t xml:space="preserve"> </w:t>
      </w:r>
      <w:r>
        <w:tab/>
        <w:t xml:space="preserve">Directive </w:t>
      </w:r>
      <w:hyperlink r:id="rId445" w:history="1">
        <w:r>
          <w:rPr>
            <w:rStyle w:val="Hyperlink"/>
          </w:rPr>
          <w:t>2015/1794/EU</w:t>
        </w:r>
      </w:hyperlink>
      <w:r>
        <w:t>.</w:t>
      </w:r>
    </w:p>
  </w:footnote>
  <w:footnote w:id="320">
    <w:p w:rsidR="00E26342" w:rsidRDefault="00040788">
      <w:pPr>
        <w:pStyle w:val="FootnoteText"/>
      </w:pPr>
      <w:r>
        <w:rPr>
          <w:rStyle w:val="FootnoteReference"/>
        </w:rPr>
        <w:footnoteRef/>
      </w:r>
      <w:r>
        <w:t xml:space="preserve"> </w:t>
      </w:r>
      <w:r>
        <w:tab/>
        <w:t xml:space="preserve">Directive </w:t>
      </w:r>
      <w:hyperlink r:id="rId446" w:history="1">
        <w:r>
          <w:rPr>
            <w:rStyle w:val="Hyperlink"/>
          </w:rPr>
          <w:t>2015/652/EU</w:t>
        </w:r>
      </w:hyperlink>
      <w:r>
        <w:t>.</w:t>
      </w:r>
    </w:p>
  </w:footnote>
  <w:footnote w:id="321">
    <w:p w:rsidR="00E26342" w:rsidRDefault="00040788">
      <w:pPr>
        <w:pStyle w:val="FootnoteText"/>
      </w:pPr>
      <w:r>
        <w:rPr>
          <w:rStyle w:val="FootnoteReference"/>
          <w:szCs w:val="18"/>
        </w:rPr>
        <w:footnoteRef/>
      </w:r>
      <w:r>
        <w:rPr>
          <w:szCs w:val="18"/>
        </w:rPr>
        <w:t xml:space="preserve"> </w:t>
      </w:r>
      <w:r>
        <w:tab/>
        <w:t xml:space="preserve">Directive </w:t>
      </w:r>
      <w:hyperlink r:id="rId447" w:history="1">
        <w:r>
          <w:rPr>
            <w:rStyle w:val="Hyperlink"/>
          </w:rPr>
          <w:t>98/70/EC</w:t>
        </w:r>
      </w:hyperlink>
      <w:r>
        <w:t>.</w:t>
      </w:r>
    </w:p>
  </w:footnote>
  <w:footnote w:id="322">
    <w:p w:rsidR="00E26342" w:rsidRDefault="00040788">
      <w:pPr>
        <w:pStyle w:val="FootnoteText"/>
      </w:pPr>
      <w:r>
        <w:rPr>
          <w:rStyle w:val="FootnoteReference"/>
          <w:szCs w:val="18"/>
        </w:rPr>
        <w:footnoteRef/>
      </w:r>
      <w:r>
        <w:t xml:space="preserve"> </w:t>
      </w:r>
      <w:r>
        <w:tab/>
        <w:t xml:space="preserve">Directive </w:t>
      </w:r>
      <w:hyperlink r:id="rId448" w:history="1">
        <w:r>
          <w:rPr>
            <w:rStyle w:val="Hyperlink"/>
          </w:rPr>
          <w:t>2014/112/EU</w:t>
        </w:r>
      </w:hyperlink>
      <w:r>
        <w:t>.</w:t>
      </w:r>
    </w:p>
  </w:footnote>
  <w:footnote w:id="323">
    <w:p w:rsidR="00E26342" w:rsidRDefault="00040788">
      <w:pPr>
        <w:pStyle w:val="FootnoteText"/>
      </w:pPr>
      <w:r>
        <w:rPr>
          <w:rStyle w:val="FootnoteReference"/>
        </w:rPr>
        <w:footnoteRef/>
      </w:r>
      <w:r>
        <w:t xml:space="preserve"> </w:t>
      </w:r>
      <w:r>
        <w:tab/>
        <w:t xml:space="preserve">Directive </w:t>
      </w:r>
      <w:hyperlink r:id="rId449" w:history="1">
        <w:r>
          <w:rPr>
            <w:rStyle w:val="Hyperlink"/>
          </w:rPr>
          <w:t>2015/2203</w:t>
        </w:r>
      </w:hyperlink>
      <w:r>
        <w:t>.</w:t>
      </w:r>
    </w:p>
  </w:footnote>
  <w:footnote w:id="324">
    <w:p w:rsidR="00E26342" w:rsidRDefault="00040788">
      <w:pPr>
        <w:pStyle w:val="FootnoteText"/>
        <w:rPr>
          <w:highlight w:val="cyan"/>
        </w:rPr>
      </w:pPr>
      <w:r>
        <w:rPr>
          <w:rStyle w:val="FootnoteReference"/>
        </w:rPr>
        <w:footnoteRef/>
      </w:r>
      <w:r>
        <w:t xml:space="preserve"> </w:t>
      </w:r>
      <w:r>
        <w:tab/>
        <w:t xml:space="preserve">Directive </w:t>
      </w:r>
      <w:hyperlink r:id="rId450" w:history="1">
        <w:r>
          <w:rPr>
            <w:rStyle w:val="Hyperlink"/>
          </w:rPr>
          <w:t>1552/89</w:t>
        </w:r>
      </w:hyperlink>
      <w:r>
        <w:rPr>
          <w:szCs w:val="18"/>
        </w:rPr>
        <w:t>,</w:t>
      </w:r>
      <w:r>
        <w:t xml:space="preserve"> Commission v United Kingdom, </w:t>
      </w:r>
      <w:hyperlink r:id="rId451" w:history="1">
        <w:r>
          <w:rPr>
            <w:rStyle w:val="Hyperlink"/>
          </w:rPr>
          <w:t>C-391/17</w:t>
        </w:r>
      </w:hyperlink>
      <w:r>
        <w:rPr>
          <w:szCs w:val="18"/>
        </w:rPr>
        <w:t xml:space="preserve"> and</w:t>
      </w:r>
      <w:r>
        <w:t xml:space="preserve"> </w:t>
      </w:r>
      <w:hyperlink r:id="rId452" w:history="1">
        <w:r>
          <w:rPr>
            <w:rStyle w:val="Hyperlink"/>
          </w:rPr>
          <w:t>MEMO/16/3125</w:t>
        </w:r>
      </w:hyperlink>
      <w:r>
        <w:rPr>
          <w:szCs w:val="18"/>
        </w:rPr>
        <w:t>.</w:t>
      </w:r>
    </w:p>
  </w:footnote>
  <w:footnote w:id="325">
    <w:p w:rsidR="00E26342" w:rsidRDefault="00040788">
      <w:pPr>
        <w:pStyle w:val="FootnoteText"/>
      </w:pPr>
      <w:r>
        <w:rPr>
          <w:rStyle w:val="FootnoteReference"/>
        </w:rPr>
        <w:footnoteRef/>
      </w:r>
      <w:r>
        <w:t xml:space="preserve"> </w:t>
      </w:r>
      <w:r>
        <w:tab/>
        <w:t xml:space="preserve">Directive </w:t>
      </w:r>
      <w:hyperlink r:id="rId453" w:history="1">
        <w:r>
          <w:rPr>
            <w:rStyle w:val="Hyperlink"/>
          </w:rPr>
          <w:t>92/43/CEE</w:t>
        </w:r>
      </w:hyperlink>
      <w:r>
        <w:t xml:space="preserve">, Commission v United Kingdom, </w:t>
      </w:r>
      <w:hyperlink r:id="rId454" w:history="1">
        <w:r>
          <w:rPr>
            <w:rStyle w:val="Hyperlink"/>
          </w:rPr>
          <w:t>C-669/16</w:t>
        </w:r>
      </w:hyperlink>
      <w:r>
        <w:t xml:space="preserve">; </w:t>
      </w:r>
      <w:hyperlink r:id="rId455" w:history="1">
        <w:r>
          <w:rPr>
            <w:rStyle w:val="Hyperlink"/>
          </w:rPr>
          <w:t>IP/16/3128</w:t>
        </w:r>
      </w:hyperlink>
      <w:r>
        <w:t>.</w:t>
      </w:r>
    </w:p>
  </w:footnote>
  <w:footnote w:id="326">
    <w:p w:rsidR="00E26342" w:rsidRDefault="00040788">
      <w:pPr>
        <w:pStyle w:val="FootnoteText"/>
      </w:pPr>
      <w:r>
        <w:rPr>
          <w:rStyle w:val="FootnoteReference"/>
        </w:rPr>
        <w:footnoteRef/>
      </w:r>
      <w:r>
        <w:t xml:space="preserve"> </w:t>
      </w:r>
      <w:r>
        <w:tab/>
        <w:t>The fuel that may benefit from a reduced tax rate has to be marked by coloured dye.</w:t>
      </w:r>
    </w:p>
  </w:footnote>
  <w:footnote w:id="327">
    <w:p w:rsidR="00E26342" w:rsidRDefault="00040788">
      <w:pPr>
        <w:pStyle w:val="FootnoteText"/>
        <w:rPr>
          <w:szCs w:val="18"/>
        </w:rPr>
      </w:pPr>
      <w:r>
        <w:rPr>
          <w:rStyle w:val="FootnoteReference"/>
          <w:szCs w:val="18"/>
        </w:rPr>
        <w:footnoteRef/>
      </w:r>
      <w:r>
        <w:rPr>
          <w:szCs w:val="18"/>
        </w:rPr>
        <w:t xml:space="preserve"> </w:t>
      </w:r>
      <w:r>
        <w:rPr>
          <w:szCs w:val="18"/>
        </w:rPr>
        <w:tab/>
        <w:t xml:space="preserve">Directive </w:t>
      </w:r>
      <w:hyperlink r:id="rId456" w:history="1">
        <w:r>
          <w:rPr>
            <w:rStyle w:val="Hyperlink"/>
            <w:szCs w:val="18"/>
          </w:rPr>
          <w:t>95/60/EC</w:t>
        </w:r>
      </w:hyperlink>
      <w:r>
        <w:rPr>
          <w:szCs w:val="18"/>
        </w:rPr>
        <w:t xml:space="preserve">, </w:t>
      </w:r>
      <w:r>
        <w:rPr>
          <w:rStyle w:val="affairetitle"/>
        </w:rPr>
        <w:t>Commission v United Kingdom,</w:t>
      </w:r>
      <w:r>
        <w:t xml:space="preserve"> </w:t>
      </w:r>
      <w:hyperlink r:id="rId457" w:history="1">
        <w:r>
          <w:rPr>
            <w:rStyle w:val="Hyperlink"/>
          </w:rPr>
          <w:t>C-503/17</w:t>
        </w:r>
      </w:hyperlink>
      <w:r>
        <w:t xml:space="preserve">, </w:t>
      </w:r>
      <w:hyperlink r:id="rId458" w:history="1">
        <w:r>
          <w:rPr>
            <w:rStyle w:val="Hyperlink"/>
          </w:rPr>
          <w:t>IP/14/810</w:t>
        </w:r>
      </w:hyperlink>
      <w:r>
        <w:t>.</w:t>
      </w:r>
    </w:p>
  </w:footnote>
  <w:footnote w:id="328">
    <w:p w:rsidR="00E26342" w:rsidRDefault="00040788">
      <w:pPr>
        <w:pStyle w:val="FootnoteText"/>
      </w:pPr>
      <w:r>
        <w:rPr>
          <w:rStyle w:val="FootnoteReference"/>
        </w:rPr>
        <w:footnoteRef/>
      </w:r>
      <w:r>
        <w:t xml:space="preserve"> </w:t>
      </w:r>
      <w:r>
        <w:tab/>
        <w:t xml:space="preserve">Directive </w:t>
      </w:r>
      <w:hyperlink r:id="rId459" w:history="1">
        <w:r>
          <w:rPr>
            <w:rStyle w:val="Hyperlink"/>
          </w:rPr>
          <w:t>2001/29/EC</w:t>
        </w:r>
      </w:hyperlink>
      <w:r>
        <w:t>.</w:t>
      </w:r>
    </w:p>
  </w:footnote>
  <w:footnote w:id="329">
    <w:p w:rsidR="00E26342" w:rsidRDefault="00040788">
      <w:pPr>
        <w:pStyle w:val="FootnoteText"/>
      </w:pPr>
      <w:r>
        <w:rPr>
          <w:rStyle w:val="FootnoteReference"/>
        </w:rPr>
        <w:footnoteRef/>
      </w:r>
      <w:r>
        <w:t xml:space="preserve"> </w:t>
      </w:r>
      <w:r>
        <w:tab/>
      </w:r>
      <w:r>
        <w:rPr>
          <w:rFonts w:cs="Arial"/>
          <w:color w:val="3D3D3D"/>
        </w:rPr>
        <w:t xml:space="preserve">Directive </w:t>
      </w:r>
      <w:hyperlink r:id="rId460" w:history="1">
        <w:r>
          <w:rPr>
            <w:rStyle w:val="Hyperlink"/>
            <w:rFonts w:cs="Arial"/>
          </w:rPr>
          <w:t>2014/94/EU</w:t>
        </w:r>
      </w:hyperlink>
      <w:r>
        <w:rPr>
          <w:rFonts w:cs="Arial"/>
          <w:color w:val="3D3D3D"/>
        </w:rPr>
        <w:t>.</w:t>
      </w:r>
    </w:p>
  </w:footnote>
  <w:footnote w:id="330">
    <w:p w:rsidR="00E26342" w:rsidRDefault="00040788">
      <w:pPr>
        <w:pStyle w:val="FootnoteText"/>
      </w:pPr>
      <w:r>
        <w:rPr>
          <w:rStyle w:val="FootnoteReference"/>
        </w:rPr>
        <w:footnoteRef/>
      </w:r>
      <w:r>
        <w:t xml:space="preserve"> </w:t>
      </w:r>
      <w:r>
        <w:tab/>
        <w:t xml:space="preserve">Directive </w:t>
      </w:r>
      <w:hyperlink r:id="rId461" w:history="1">
        <w:r>
          <w:rPr>
            <w:rStyle w:val="Hyperlink"/>
          </w:rPr>
          <w:t>2005/36/EC</w:t>
        </w:r>
      </w:hyperlink>
      <w:r>
        <w:t>.</w:t>
      </w:r>
    </w:p>
  </w:footnote>
  <w:footnote w:id="331">
    <w:p w:rsidR="00E26342" w:rsidRDefault="00040788">
      <w:pPr>
        <w:pStyle w:val="FootnoteText"/>
      </w:pPr>
      <w:r>
        <w:rPr>
          <w:rStyle w:val="FootnoteReference"/>
        </w:rPr>
        <w:footnoteRef/>
      </w:r>
      <w:r>
        <w:t xml:space="preserve"> </w:t>
      </w:r>
      <w:r>
        <w:tab/>
        <w:t xml:space="preserve">Directive </w:t>
      </w:r>
      <w:hyperlink r:id="rId462" w:history="1">
        <w:r>
          <w:rPr>
            <w:rStyle w:val="Hyperlink"/>
          </w:rPr>
          <w:t>2014/94/EU</w:t>
        </w:r>
      </w:hyperlink>
      <w:r>
        <w:t>.</w:t>
      </w:r>
    </w:p>
  </w:footnote>
  <w:footnote w:id="332">
    <w:p w:rsidR="00E26342" w:rsidRDefault="00040788">
      <w:pPr>
        <w:pStyle w:val="FootnoteText"/>
      </w:pPr>
      <w:r>
        <w:rPr>
          <w:rStyle w:val="FootnoteReference"/>
        </w:rPr>
        <w:footnoteRef/>
      </w:r>
      <w:r>
        <w:t xml:space="preserve"> </w:t>
      </w:r>
      <w:r>
        <w:tab/>
        <w:t xml:space="preserve">Directive </w:t>
      </w:r>
      <w:hyperlink r:id="rId463" w:history="1">
        <w:r>
          <w:rPr>
            <w:rStyle w:val="Hyperlink"/>
          </w:rPr>
          <w:t>2014/51/EU</w:t>
        </w:r>
      </w:hyperlink>
      <w:r>
        <w:t>.</w:t>
      </w:r>
    </w:p>
  </w:footnote>
  <w:footnote w:id="333">
    <w:p w:rsidR="00E26342" w:rsidRDefault="00040788">
      <w:pPr>
        <w:pStyle w:val="FootnoteText"/>
      </w:pPr>
      <w:r>
        <w:rPr>
          <w:rStyle w:val="FootnoteReference"/>
        </w:rPr>
        <w:footnoteRef/>
      </w:r>
      <w:r>
        <w:t xml:space="preserve"> </w:t>
      </w:r>
      <w:r>
        <w:tab/>
        <w:t xml:space="preserve">Directive </w:t>
      </w:r>
      <w:hyperlink r:id="rId464" w:history="1">
        <w:r>
          <w:rPr>
            <w:rStyle w:val="Hyperlink"/>
          </w:rPr>
          <w:t>2014/59/EU</w:t>
        </w:r>
      </w:hyperlink>
      <w:r>
        <w:t>.</w:t>
      </w:r>
    </w:p>
  </w:footnote>
  <w:footnote w:id="334">
    <w:p w:rsidR="00E26342" w:rsidRDefault="00040788">
      <w:pPr>
        <w:pStyle w:val="FootnoteText"/>
      </w:pPr>
      <w:r>
        <w:rPr>
          <w:rStyle w:val="FootnoteReference"/>
        </w:rPr>
        <w:footnoteRef/>
      </w:r>
      <w:r>
        <w:t xml:space="preserve"> </w:t>
      </w:r>
      <w:r>
        <w:tab/>
        <w:t xml:space="preserve">Directive </w:t>
      </w:r>
      <w:hyperlink r:id="rId465" w:history="1">
        <w:r>
          <w:rPr>
            <w:rStyle w:val="Hyperlink"/>
          </w:rPr>
          <w:t>2006/126/EC</w:t>
        </w:r>
      </w:hyperlink>
      <w:r>
        <w:t>.</w:t>
      </w:r>
    </w:p>
  </w:footnote>
  <w:footnote w:id="335">
    <w:p w:rsidR="00E26342" w:rsidRDefault="00040788">
      <w:pPr>
        <w:pStyle w:val="FootnoteText"/>
      </w:pPr>
      <w:r>
        <w:rPr>
          <w:rStyle w:val="FootnoteReference"/>
        </w:rPr>
        <w:footnoteRef/>
      </w:r>
      <w:r>
        <w:t xml:space="preserve"> </w:t>
      </w:r>
      <w:r>
        <w:tab/>
        <w:t xml:space="preserve">Directive </w:t>
      </w:r>
      <w:hyperlink r:id="rId466" w:history="1">
        <w:r>
          <w:rPr>
            <w:rStyle w:val="Hyperlink"/>
          </w:rPr>
          <w:t>2012/34/EU</w:t>
        </w:r>
      </w:hyperlink>
      <w:r>
        <w:t>.</w:t>
      </w:r>
    </w:p>
  </w:footnote>
  <w:footnote w:id="336">
    <w:p w:rsidR="00E26342" w:rsidRDefault="00040788">
      <w:pPr>
        <w:pStyle w:val="FootnoteText"/>
      </w:pPr>
      <w:r>
        <w:rPr>
          <w:rStyle w:val="FootnoteReference"/>
          <w:sz w:val="16"/>
        </w:rPr>
        <w:footnoteRef/>
      </w:r>
      <w:r>
        <w:rPr>
          <w:sz w:val="16"/>
        </w:rPr>
        <w:t xml:space="preserve"> </w:t>
      </w:r>
      <w:r>
        <w:rPr>
          <w:sz w:val="16"/>
        </w:rPr>
        <w:tab/>
      </w:r>
      <w:r>
        <w:t>These rulin</w:t>
      </w:r>
      <w:r>
        <w:t>gs are almost exclusively handed down in infringement procedures.</w:t>
      </w:r>
    </w:p>
  </w:footnote>
  <w:footnote w:id="337">
    <w:p w:rsidR="00E26342" w:rsidRDefault="00040788">
      <w:pPr>
        <w:pStyle w:val="FootnoteText"/>
      </w:pPr>
      <w:r>
        <w:rPr>
          <w:rStyle w:val="FootnoteReference"/>
        </w:rPr>
        <w:footnoteRef/>
      </w:r>
      <w:r>
        <w:t xml:space="preserve"> </w:t>
      </w:r>
      <w:r>
        <w:tab/>
        <w:t xml:space="preserve">Directive </w:t>
      </w:r>
      <w:hyperlink r:id="rId467" w:history="1">
        <w:r>
          <w:rPr>
            <w:rStyle w:val="Hyperlink"/>
          </w:rPr>
          <w:t>91/271/EEC</w:t>
        </w:r>
      </w:hyperlink>
      <w:r>
        <w:rPr>
          <w:rStyle w:val="Hyperlink"/>
        </w:rPr>
        <w:t xml:space="preserve"> </w:t>
      </w:r>
      <w:r>
        <w:rPr>
          <w:szCs w:val="18"/>
        </w:rPr>
        <w:t>and</w:t>
      </w:r>
      <w:r>
        <w:t xml:space="preserve"> Commission v United Kingdom, </w:t>
      </w:r>
      <w:hyperlink r:id="rId468" w:history="1">
        <w:r>
          <w:rPr>
            <w:rStyle w:val="Hyperlink"/>
          </w:rPr>
          <w:t>C-502/15</w:t>
        </w:r>
      </w:hyperlink>
      <w:r>
        <w:t>.</w:t>
      </w:r>
    </w:p>
  </w:footnote>
  <w:footnote w:id="338">
    <w:p w:rsidR="00E26342" w:rsidRDefault="00040788">
      <w:pPr>
        <w:pStyle w:val="FootnoteText"/>
      </w:pPr>
      <w:r>
        <w:rPr>
          <w:rStyle w:val="FootnoteReference"/>
        </w:rPr>
        <w:footnoteRef/>
      </w:r>
      <w:r>
        <w:t xml:space="preserve"> </w:t>
      </w:r>
      <w:r>
        <w:tab/>
        <w:t xml:space="preserve">Directive </w:t>
      </w:r>
      <w:hyperlink r:id="rId469" w:history="1">
        <w:r>
          <w:rPr>
            <w:rStyle w:val="Hyperlink"/>
          </w:rPr>
          <w:t>2004/38/EC</w:t>
        </w:r>
      </w:hyperlink>
      <w:r>
        <w:t>.</w:t>
      </w:r>
    </w:p>
  </w:footnote>
  <w:footnote w:id="339">
    <w:p w:rsidR="00E26342" w:rsidRDefault="00040788">
      <w:pPr>
        <w:pStyle w:val="FootnoteText"/>
      </w:pPr>
      <w:r>
        <w:rPr>
          <w:rStyle w:val="FootnoteReference"/>
        </w:rPr>
        <w:footnoteRef/>
      </w:r>
      <w:r>
        <w:t xml:space="preserve"> </w:t>
      </w:r>
      <w:r>
        <w:tab/>
        <w:t xml:space="preserve">Lounes, </w:t>
      </w:r>
      <w:hyperlink r:id="rId470" w:history="1">
        <w:r>
          <w:rPr>
            <w:rStyle w:val="Hyperlink"/>
          </w:rPr>
          <w:t>C-165/16</w:t>
        </w:r>
      </w:hyperlink>
      <w:r>
        <w:t xml:space="preserve"> and Court press release </w:t>
      </w:r>
      <w:hyperlink r:id="rId471" w:history="1">
        <w:r>
          <w:rPr>
            <w:rStyle w:val="Hyperlink"/>
          </w:rPr>
          <w:t>No 121/17</w:t>
        </w:r>
      </w:hyperlink>
      <w:r>
        <w:t>.</w:t>
      </w:r>
    </w:p>
  </w:footnote>
  <w:footnote w:id="340">
    <w:p w:rsidR="00E26342" w:rsidRDefault="00040788">
      <w:pPr>
        <w:pStyle w:val="FootnoteText"/>
      </w:pPr>
      <w:r>
        <w:rPr>
          <w:rStyle w:val="FootnoteReference"/>
        </w:rPr>
        <w:footnoteRef/>
      </w:r>
      <w:r>
        <w:t xml:space="preserve"> </w:t>
      </w:r>
      <w:r>
        <w:rPr>
          <w:szCs w:val="18"/>
        </w:rPr>
        <w:tab/>
      </w:r>
      <w:r>
        <w:t>Trustees of the P Panayi Accumulation &amp; Maintenance Sett</w:t>
      </w:r>
      <w:r>
        <w:t>lements</w:t>
      </w:r>
      <w:r>
        <w:rPr>
          <w:szCs w:val="18"/>
        </w:rPr>
        <w:t>,</w:t>
      </w:r>
      <w:r>
        <w:t xml:space="preserve"> </w:t>
      </w:r>
      <w:hyperlink r:id="rId472" w:history="1">
        <w:r>
          <w:rPr>
            <w:rStyle w:val="Hyperlink"/>
          </w:rPr>
          <w:t>C-646/15</w:t>
        </w:r>
      </w:hyperlink>
      <w:r>
        <w:t>.</w:t>
      </w:r>
    </w:p>
  </w:footnote>
  <w:footnote w:id="341">
    <w:p w:rsidR="00E26342" w:rsidRDefault="00040788">
      <w:pPr>
        <w:pStyle w:val="FootnoteText"/>
      </w:pPr>
      <w:r>
        <w:rPr>
          <w:rStyle w:val="FootnoteReference"/>
        </w:rPr>
        <w:footnoteRef/>
      </w:r>
      <w:r>
        <w:rPr>
          <w:szCs w:val="18"/>
        </w:rPr>
        <w:t xml:space="preserve"> </w:t>
      </w:r>
      <w:r>
        <w:rPr>
          <w:szCs w:val="18"/>
        </w:rPr>
        <w:tab/>
      </w:r>
      <w:r>
        <w:t xml:space="preserve">The Gibraltar Betting and Gaming Association Limited and The Queen, </w:t>
      </w:r>
      <w:hyperlink r:id="rId473" w:history="1">
        <w:r>
          <w:rPr>
            <w:rStyle w:val="Hyperlink"/>
          </w:rPr>
          <w:t>C-591/15</w:t>
        </w:r>
      </w:hyperlink>
      <w:r>
        <w:t>.</w:t>
      </w:r>
    </w:p>
  </w:footnote>
  <w:footnote w:id="342">
    <w:p w:rsidR="00E26342" w:rsidRDefault="00040788">
      <w:pPr>
        <w:pStyle w:val="FootnoteText"/>
      </w:pPr>
      <w:r>
        <w:rPr>
          <w:rStyle w:val="FootnoteReference"/>
        </w:rPr>
        <w:footnoteRef/>
      </w:r>
      <w:r>
        <w:t xml:space="preserve"> </w:t>
      </w:r>
      <w:r>
        <w:tab/>
        <w:t>Mercedes-Benz Fi</w:t>
      </w:r>
      <w:r>
        <w:t xml:space="preserve">nancial Services UK, </w:t>
      </w:r>
      <w:hyperlink r:id="rId474" w:history="1">
        <w:r>
          <w:rPr>
            <w:rStyle w:val="Hyperlink"/>
          </w:rPr>
          <w:t>C-164/16</w:t>
        </w:r>
      </w:hyperlink>
      <w:r>
        <w:t>.</w:t>
      </w:r>
    </w:p>
  </w:footnote>
  <w:footnote w:id="343">
    <w:p w:rsidR="00E26342" w:rsidRDefault="00040788">
      <w:pPr>
        <w:pStyle w:val="FootnoteText"/>
      </w:pPr>
      <w:r>
        <w:rPr>
          <w:rStyle w:val="FootnoteReference"/>
        </w:rPr>
        <w:footnoteRef/>
      </w:r>
      <w:r>
        <w:t xml:space="preserve"> </w:t>
      </w:r>
      <w:r>
        <w:tab/>
        <w:t xml:space="preserve">Directive </w:t>
      </w:r>
      <w:hyperlink r:id="rId475" w:history="1">
        <w:r>
          <w:rPr>
            <w:rStyle w:val="Hyperlink"/>
          </w:rPr>
          <w:t>2003/88/EC</w:t>
        </w:r>
      </w:hyperlink>
      <w:r>
        <w:t>.</w:t>
      </w:r>
    </w:p>
  </w:footnote>
  <w:footnote w:id="344">
    <w:p w:rsidR="00E26342" w:rsidRDefault="00040788">
      <w:pPr>
        <w:pStyle w:val="FootnoteText"/>
      </w:pPr>
      <w:r>
        <w:rPr>
          <w:rStyle w:val="FootnoteReference"/>
        </w:rPr>
        <w:footnoteRef/>
      </w:r>
      <w:r>
        <w:t xml:space="preserve"> </w:t>
      </w:r>
      <w:r>
        <w:tab/>
        <w:t xml:space="preserve">King, </w:t>
      </w:r>
      <w:hyperlink r:id="rId476" w:history="1">
        <w:r>
          <w:rPr>
            <w:rStyle w:val="Hyperlink"/>
          </w:rPr>
          <w:t>C-214/16</w:t>
        </w:r>
      </w:hyperlink>
      <w:r>
        <w:rPr>
          <w:rStyle w:val="Hyperlink"/>
        </w:rPr>
        <w:t>.</w:t>
      </w:r>
    </w:p>
    <w:p w:rsidR="00E26342" w:rsidRDefault="00E26342">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788" w:rsidRPr="00040788" w:rsidRDefault="00040788" w:rsidP="00040788">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342" w:rsidRDefault="00E26342">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342" w:rsidRDefault="00040788">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614208" behindDoc="0" locked="0" layoutInCell="1" allowOverlap="1" wp14:anchorId="25C39943" wp14:editId="5BDB6FE3">
              <wp:simplePos x="0" y="0"/>
              <wp:positionH relativeFrom="column">
                <wp:posOffset>-900430</wp:posOffset>
              </wp:positionH>
              <wp:positionV relativeFrom="paragraph">
                <wp:posOffset>630555</wp:posOffset>
              </wp:positionV>
              <wp:extent cx="7559675" cy="45720"/>
              <wp:effectExtent l="0" t="19050" r="0" b="11430"/>
              <wp:wrapNone/>
              <wp:docPr id="8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rsidR="00E26342" w:rsidRDefault="00E26342">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left:0;text-align:left;margin-left:-70.9pt;margin-top:49.65pt;width:595.25pt;height:3.6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" filled="f" stroked="f">
              <v:textbox>
                <w:txbxContent>
                  <w:p w:rsidR="00E26342" w:rsidRDefault="00E26342">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613184" behindDoc="0" locked="0" layoutInCell="1" allowOverlap="1" wp14:anchorId="0C603B6C" wp14:editId="62D45D8C">
              <wp:simplePos x="0" y="0"/>
              <wp:positionH relativeFrom="column">
                <wp:posOffset>4821555</wp:posOffset>
              </wp:positionH>
              <wp:positionV relativeFrom="paragraph">
                <wp:posOffset>300355</wp:posOffset>
              </wp:positionV>
              <wp:extent cx="1835150" cy="219075"/>
              <wp:effectExtent l="0" t="0" r="0" b="9525"/>
              <wp:wrapNone/>
              <wp:docPr id="834" name="Rectangle 8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2606B28" id="Rectangle 834" o:spid="_x0000_s1026" style="position:absolute;margin-left:379.65pt;margin-top:23.65pt;width:144.5pt;height:17.2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" fillcolor="#004194" stroked="f" strokeweight="2pt">
              <v:path arrowok="t"/>
            </v:rect>
          </w:pict>
        </mc:Fallback>
      </mc:AlternateContent>
    </w:r>
    <w:r>
      <w:rPr>
        <w:noProof/>
        <w:lang w:eastAsia="en-GB"/>
      </w:rPr>
      <mc:AlternateContent>
        <mc:Choice Requires="wps">
          <w:drawing>
            <wp:anchor distT="0" distB="0" distL="114300" distR="114300" simplePos="0" relativeHeight="251612160" behindDoc="0" locked="0" layoutInCell="1" allowOverlap="1" wp14:anchorId="0815B05C" wp14:editId="431B6D7F">
              <wp:simplePos x="0" y="0"/>
              <wp:positionH relativeFrom="column">
                <wp:posOffset>-900430</wp:posOffset>
              </wp:positionH>
              <wp:positionV relativeFrom="paragraph">
                <wp:posOffset>300355</wp:posOffset>
              </wp:positionV>
              <wp:extent cx="1803400" cy="219075"/>
              <wp:effectExtent l="0" t="0" r="6350" b="9525"/>
              <wp:wrapNone/>
              <wp:docPr id="835" name="Rectangle 8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6529C3A" id="Rectangle 835" o:spid="_x0000_s1026" style="position:absolute;margin-left:-70.9pt;margin-top:23.65pt;width:142pt;height:17.2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" fillcolor="#004194" stroked="f" strokeweight="2pt">
              <v:path arrowok="t"/>
            </v:rect>
          </w:pict>
        </mc:Fallback>
      </mc:AlternateContent>
    </w:r>
  </w:p>
  <w:p w:rsidR="00E26342" w:rsidRDefault="00040788">
    <w:pPr>
      <w:pStyle w:val="Header"/>
    </w:pPr>
    <w:r>
      <w:rPr>
        <w:noProof/>
        <w:lang w:eastAsia="en-GB"/>
      </w:rPr>
      <mc:AlternateContent>
        <mc:Choice Requires="wps">
          <w:drawing>
            <wp:anchor distT="0" distB="0" distL="114300" distR="114300" simplePos="0" relativeHeight="251611136" behindDoc="0" locked="0" layoutInCell="1" allowOverlap="1" wp14:anchorId="0E448432" wp14:editId="75902A95">
              <wp:simplePos x="0" y="0"/>
              <wp:positionH relativeFrom="column">
                <wp:posOffset>-899795</wp:posOffset>
              </wp:positionH>
              <wp:positionV relativeFrom="paragraph">
                <wp:posOffset>43815</wp:posOffset>
              </wp:positionV>
              <wp:extent cx="7557135" cy="640080"/>
              <wp:effectExtent l="0" t="0" r="0" b="0"/>
              <wp:wrapNone/>
              <wp:docPr id="8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640080"/>
                      </a:xfrm>
                      <a:prstGeom prst="rect">
                        <a:avLst/>
                      </a:prstGeom>
                      <a:noFill/>
                      <a:ln w="9525">
                        <a:noFill/>
                        <a:miter lim="800000"/>
                        <a:headEnd/>
                        <a:tailEnd/>
                      </a:ln>
                    </wps:spPr>
                    <wps:txbx>
                      <w:txbxContent>
                        <w:p w:rsidR="00E26342" w:rsidRDefault="00040788">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 xml:space="preserve">2017 Annual </w:t>
                          </w:r>
                          <w:r>
                            <w:rPr>
                              <w:rFonts w:ascii="Arial" w:hAnsi="Arial" w:cs="Arial"/>
                              <w:color w:val="004194"/>
                              <w:sz w:val="20"/>
                            </w:rPr>
                            <w:t>Report</w:t>
                          </w:r>
                        </w:p>
                        <w:p w:rsidR="00E26342" w:rsidRDefault="00040788">
                          <w:pPr>
                            <w:spacing w:after="0"/>
                            <w:jc w:val="center"/>
                            <w:rPr>
                              <w:rFonts w:ascii="Arial" w:hAnsi="Arial" w:cs="Arial"/>
                              <w:b/>
                              <w:color w:val="A6A6A6"/>
                              <w:sz w:val="22"/>
                              <w:szCs w:val="22"/>
                            </w:rPr>
                          </w:pPr>
                          <w:r>
                            <w:rPr>
                              <w:rFonts w:ascii="Arial" w:hAnsi="Arial"/>
                              <w:color w:val="A6A6A6"/>
                              <w:sz w:val="22"/>
                            </w:rPr>
                            <w:t>Malta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70.85pt;margin-top:3.45pt;width:595.05pt;height:50.4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" filled="f" stroked="f">
              <v:textbox>
                <w:txbxContent>
                  <w:p w:rsidR="00E26342" w:rsidRDefault="00040788">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 xml:space="preserve">2017 Annual </w:t>
                    </w:r>
                    <w:r>
                      <w:rPr>
                        <w:rFonts w:ascii="Arial" w:hAnsi="Arial" w:cs="Arial"/>
                        <w:color w:val="004194"/>
                        <w:sz w:val="20"/>
                      </w:rPr>
                      <w:t>Report</w:t>
                    </w:r>
                  </w:p>
                  <w:p w:rsidR="00E26342" w:rsidRDefault="00040788">
                    <w:pPr>
                      <w:spacing w:after="0"/>
                      <w:jc w:val="center"/>
                      <w:rPr>
                        <w:rFonts w:ascii="Arial" w:hAnsi="Arial" w:cs="Arial"/>
                        <w:b/>
                        <w:color w:val="A6A6A6"/>
                        <w:sz w:val="22"/>
                        <w:szCs w:val="22"/>
                      </w:rPr>
                    </w:pPr>
                    <w:r>
                      <w:rPr>
                        <w:rFonts w:ascii="Arial" w:hAnsi="Arial"/>
                        <w:color w:val="A6A6A6"/>
                        <w:sz w:val="22"/>
                      </w:rPr>
                      <w:t>Malta</w:t>
                    </w:r>
                  </w:p>
                </w:txbxContent>
              </v:textbox>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342" w:rsidRDefault="00040788">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610112" behindDoc="0" locked="0" layoutInCell="1" allowOverlap="1" wp14:anchorId="36BE8DB7" wp14:editId="474F7B6C">
              <wp:simplePos x="0" y="0"/>
              <wp:positionH relativeFrom="column">
                <wp:posOffset>-900430</wp:posOffset>
              </wp:positionH>
              <wp:positionV relativeFrom="paragraph">
                <wp:posOffset>630555</wp:posOffset>
              </wp:positionV>
              <wp:extent cx="7559675" cy="45720"/>
              <wp:effectExtent l="0" t="19050" r="0" b="11430"/>
              <wp:wrapNone/>
              <wp:docPr id="8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rsidR="00E26342" w:rsidRDefault="00E26342">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70.9pt;margin-top:49.65pt;width:595.25pt;height:3.6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" filled="f" stroked="f">
              <v:textbox>
                <w:txbxContent>
                  <w:p w:rsidR="00E26342" w:rsidRDefault="00E26342">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607040" behindDoc="0" locked="0" layoutInCell="1" allowOverlap="1" wp14:anchorId="4F3EC52F" wp14:editId="361F8BF1">
              <wp:simplePos x="0" y="0"/>
              <wp:positionH relativeFrom="column">
                <wp:posOffset>-900430</wp:posOffset>
              </wp:positionH>
              <wp:positionV relativeFrom="paragraph">
                <wp:posOffset>222250</wp:posOffset>
              </wp:positionV>
              <wp:extent cx="7557135" cy="408940"/>
              <wp:effectExtent l="0" t="0" r="0" b="0"/>
              <wp:wrapNone/>
              <wp:docPr id="8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rsidR="00E26342" w:rsidRDefault="00040788">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2017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70.9pt;margin-top:17.5pt;width:595.05pt;height:32.2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" filled="f" stroked="f">
              <v:textbox>
                <w:txbxContent>
                  <w:p w:rsidR="00E26342" w:rsidRDefault="00040788">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2017 Annual Report</w:t>
                    </w:r>
                  </w:p>
                </w:txbxContent>
              </v:textbox>
            </v:shape>
          </w:pict>
        </mc:Fallback>
      </mc:AlternateContent>
    </w:r>
    <w:r>
      <w:rPr>
        <w:noProof/>
        <w:lang w:eastAsia="en-GB"/>
      </w:rPr>
      <mc:AlternateContent>
        <mc:Choice Requires="wps">
          <w:drawing>
            <wp:anchor distT="0" distB="0" distL="114300" distR="114300" simplePos="0" relativeHeight="251609088" behindDoc="0" locked="0" layoutInCell="1" allowOverlap="1" wp14:anchorId="73487DA8" wp14:editId="3F097F75">
              <wp:simplePos x="0" y="0"/>
              <wp:positionH relativeFrom="column">
                <wp:posOffset>4821555</wp:posOffset>
              </wp:positionH>
              <wp:positionV relativeFrom="paragraph">
                <wp:posOffset>300355</wp:posOffset>
              </wp:positionV>
              <wp:extent cx="1835150" cy="219075"/>
              <wp:effectExtent l="0" t="0" r="0" b="9525"/>
              <wp:wrapNone/>
              <wp:docPr id="838" name="Rectangle 8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F08C916" id="Rectangle 838" o:spid="_x0000_s1026" style="position:absolute;margin-left:379.65pt;margin-top:23.65pt;width:144.5pt;height:17.2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" fillcolor="#004194" stroked="f" strokeweight="2pt">
              <v:path arrowok="t"/>
            </v:rect>
          </w:pict>
        </mc:Fallback>
      </mc:AlternateContent>
    </w:r>
    <w:r>
      <w:rPr>
        <w:noProof/>
        <w:lang w:eastAsia="en-GB"/>
      </w:rPr>
      <mc:AlternateContent>
        <mc:Choice Requires="wps">
          <w:drawing>
            <wp:anchor distT="0" distB="0" distL="114300" distR="114300" simplePos="0" relativeHeight="251608064" behindDoc="0" locked="0" layoutInCell="1" allowOverlap="1" wp14:anchorId="6A6B74DB" wp14:editId="376EEF18">
              <wp:simplePos x="0" y="0"/>
              <wp:positionH relativeFrom="column">
                <wp:posOffset>-900430</wp:posOffset>
              </wp:positionH>
              <wp:positionV relativeFrom="paragraph">
                <wp:posOffset>300355</wp:posOffset>
              </wp:positionV>
              <wp:extent cx="1803400" cy="219075"/>
              <wp:effectExtent l="0" t="0" r="6350" b="9525"/>
              <wp:wrapNone/>
              <wp:docPr id="839" name="Rectangle 8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4C743B1" id="Rectangle 839" o:spid="_x0000_s1026" style="position:absolute;margin-left:-70.9pt;margin-top:23.65pt;width:142pt;height:17.2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" fillcolor="#004194" stroked="f" strokeweight="2pt">
              <v:path arrowok="t"/>
            </v:rect>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342" w:rsidRDefault="00E26342">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342" w:rsidRDefault="00040788">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622400" behindDoc="0" locked="0" layoutInCell="1" allowOverlap="1" wp14:anchorId="35D73706" wp14:editId="1C66A9B6">
              <wp:simplePos x="0" y="0"/>
              <wp:positionH relativeFrom="column">
                <wp:posOffset>-900430</wp:posOffset>
              </wp:positionH>
              <wp:positionV relativeFrom="paragraph">
                <wp:posOffset>630555</wp:posOffset>
              </wp:positionV>
              <wp:extent cx="7559675" cy="45720"/>
              <wp:effectExtent l="0" t="19050" r="0" b="11430"/>
              <wp:wrapNone/>
              <wp:docPr id="8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rsidR="00E26342" w:rsidRDefault="00E26342">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70.9pt;margin-top:49.65pt;width:595.25pt;height:3.6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" filled="f" stroked="f">
              <v:textbox>
                <w:txbxContent>
                  <w:p w:rsidR="00E26342" w:rsidRDefault="00E26342">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621376" behindDoc="0" locked="0" layoutInCell="1" allowOverlap="1" wp14:anchorId="29897E5D" wp14:editId="1AC1880F">
              <wp:simplePos x="0" y="0"/>
              <wp:positionH relativeFrom="column">
                <wp:posOffset>4821555</wp:posOffset>
              </wp:positionH>
              <wp:positionV relativeFrom="paragraph">
                <wp:posOffset>300355</wp:posOffset>
              </wp:positionV>
              <wp:extent cx="1835150" cy="219075"/>
              <wp:effectExtent l="0" t="0" r="0" b="9525"/>
              <wp:wrapNone/>
              <wp:docPr id="870" name="Rectangle 8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18F437E" id="Rectangle 870" o:spid="_x0000_s1026" style="position:absolute;margin-left:379.65pt;margin-top:23.65pt;width:144.5pt;height:17.2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620352" behindDoc="0" locked="0" layoutInCell="1" allowOverlap="1" wp14:anchorId="0D8D6BDD" wp14:editId="056FAA8C">
              <wp:simplePos x="0" y="0"/>
              <wp:positionH relativeFrom="column">
                <wp:posOffset>-900430</wp:posOffset>
              </wp:positionH>
              <wp:positionV relativeFrom="paragraph">
                <wp:posOffset>300355</wp:posOffset>
              </wp:positionV>
              <wp:extent cx="1803400" cy="219075"/>
              <wp:effectExtent l="0" t="0" r="6350" b="9525"/>
              <wp:wrapNone/>
              <wp:docPr id="871" name="Rectangle 8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C1E9A6F" id="Rectangle 871" o:spid="_x0000_s1026" style="position:absolute;margin-left:-70.9pt;margin-top:23.65pt;width:142pt;height:17.2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" fillcolor="#004194" stroked="f" strokeweight="2pt">
              <v:path arrowok="t"/>
            </v:rect>
          </w:pict>
        </mc:Fallback>
      </mc:AlternateContent>
    </w:r>
  </w:p>
  <w:p w:rsidR="00E26342" w:rsidRDefault="00040788">
    <w:pPr>
      <w:pStyle w:val="Header"/>
    </w:pPr>
    <w:r>
      <w:rPr>
        <w:noProof/>
        <w:lang w:eastAsia="en-GB"/>
      </w:rPr>
      <mc:AlternateContent>
        <mc:Choice Requires="wps">
          <w:drawing>
            <wp:anchor distT="0" distB="0" distL="114300" distR="114300" simplePos="0" relativeHeight="251619328" behindDoc="0" locked="0" layoutInCell="1" allowOverlap="1" wp14:anchorId="27EE653F" wp14:editId="7FAEF80D">
              <wp:simplePos x="0" y="0"/>
              <wp:positionH relativeFrom="column">
                <wp:posOffset>-899795</wp:posOffset>
              </wp:positionH>
              <wp:positionV relativeFrom="paragraph">
                <wp:posOffset>43815</wp:posOffset>
              </wp:positionV>
              <wp:extent cx="7557135" cy="609600"/>
              <wp:effectExtent l="0" t="0" r="0" b="0"/>
              <wp:wrapNone/>
              <wp:docPr id="8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609600"/>
                      </a:xfrm>
                      <a:prstGeom prst="rect">
                        <a:avLst/>
                      </a:prstGeom>
                      <a:noFill/>
                      <a:ln w="9525">
                        <a:noFill/>
                        <a:miter lim="800000"/>
                        <a:headEnd/>
                        <a:tailEnd/>
                      </a:ln>
                    </wps:spPr>
                    <wps:txbx>
                      <w:txbxContent>
                        <w:p w:rsidR="00E26342" w:rsidRDefault="00040788">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2017 Annual Report</w:t>
                          </w:r>
                        </w:p>
                        <w:p w:rsidR="00E26342" w:rsidRDefault="00040788">
                          <w:pPr>
                            <w:spacing w:after="0"/>
                            <w:jc w:val="center"/>
                            <w:rPr>
                              <w:rFonts w:ascii="Arial" w:hAnsi="Arial" w:cs="Arial"/>
                              <w:b/>
                              <w:color w:val="A6A6A6"/>
                              <w:sz w:val="22"/>
                              <w:szCs w:val="22"/>
                            </w:rPr>
                          </w:pPr>
                          <w:r>
                            <w:rPr>
                              <w:rFonts w:ascii="Arial" w:hAnsi="Arial"/>
                              <w:color w:val="A6A6A6"/>
                              <w:sz w:val="22"/>
                            </w:rPr>
                            <w:t>Netherlands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70.85pt;margin-top:3.45pt;width:595.05pt;height:48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" filled="f" stroked="f">
              <v:textbox>
                <w:txbxContent>
                  <w:p w:rsidR="00E26342" w:rsidRDefault="00040788">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2017 Annual Report</w:t>
                    </w:r>
                  </w:p>
                  <w:p w:rsidR="00E26342" w:rsidRDefault="00040788">
                    <w:pPr>
                      <w:spacing w:after="0"/>
                      <w:jc w:val="center"/>
                      <w:rPr>
                        <w:rFonts w:ascii="Arial" w:hAnsi="Arial" w:cs="Arial"/>
                        <w:b/>
                        <w:color w:val="A6A6A6"/>
                        <w:sz w:val="22"/>
                        <w:szCs w:val="22"/>
                      </w:rPr>
                    </w:pPr>
                    <w:r>
                      <w:rPr>
                        <w:rFonts w:ascii="Arial" w:hAnsi="Arial"/>
                        <w:color w:val="A6A6A6"/>
                        <w:sz w:val="22"/>
                      </w:rPr>
                      <w:t>Netherlands</w:t>
                    </w:r>
                  </w:p>
                </w:txbxContent>
              </v:textbox>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342" w:rsidRDefault="00040788">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618304" behindDoc="0" locked="0" layoutInCell="1" allowOverlap="1" wp14:anchorId="766F0693" wp14:editId="1C5C3F59">
              <wp:simplePos x="0" y="0"/>
              <wp:positionH relativeFrom="column">
                <wp:posOffset>-900430</wp:posOffset>
              </wp:positionH>
              <wp:positionV relativeFrom="paragraph">
                <wp:posOffset>630555</wp:posOffset>
              </wp:positionV>
              <wp:extent cx="7559675" cy="45720"/>
              <wp:effectExtent l="0" t="19050" r="0" b="11430"/>
              <wp:wrapNone/>
              <wp:docPr id="8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rsidR="00E26342" w:rsidRDefault="00E26342">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left:0;text-align:left;margin-left:-70.9pt;margin-top:49.65pt;width:595.25pt;height:3.6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" filled="f" stroked="f">
              <v:textbox>
                <w:txbxContent>
                  <w:p w:rsidR="00E26342" w:rsidRDefault="00E26342">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615232" behindDoc="0" locked="0" layoutInCell="1" allowOverlap="1" wp14:anchorId="19F6FC3F" wp14:editId="3337B83B">
              <wp:simplePos x="0" y="0"/>
              <wp:positionH relativeFrom="column">
                <wp:posOffset>-900430</wp:posOffset>
              </wp:positionH>
              <wp:positionV relativeFrom="paragraph">
                <wp:posOffset>222250</wp:posOffset>
              </wp:positionV>
              <wp:extent cx="7557135" cy="408940"/>
              <wp:effectExtent l="0" t="0" r="0" b="0"/>
              <wp:wrapNone/>
              <wp:docPr id="8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rsidR="00E26342" w:rsidRDefault="00040788">
                          <w:pPr>
                            <w:tabs>
                              <w:tab w:val="left" w:pos="4111"/>
                            </w:tabs>
                            <w:spacing w:after="0"/>
                            <w:jc w:val="center"/>
                            <w:rPr>
                              <w:rFonts w:ascii="Arial" w:hAnsi="Arial" w:cs="Arial"/>
                              <w:color w:val="004194"/>
                              <w:sz w:val="20"/>
                            </w:rPr>
                          </w:pPr>
                          <w:r>
                            <w:rPr>
                              <w:rFonts w:ascii="Arial" w:hAnsi="Arial" w:cs="Arial"/>
                              <w:color w:val="004194"/>
                              <w:sz w:val="20"/>
                            </w:rPr>
                            <w:t xml:space="preserve">Monitoring the </w:t>
                          </w:r>
                          <w:r>
                            <w:rPr>
                              <w:rFonts w:ascii="Arial" w:hAnsi="Arial" w:cs="Arial"/>
                              <w:color w:val="004194"/>
                              <w:sz w:val="20"/>
                            </w:rPr>
                            <w:t>application of European Union law</w:t>
                          </w:r>
                          <w:r>
                            <w:rPr>
                              <w:rFonts w:ascii="Arial" w:hAnsi="Arial" w:cs="Arial"/>
                              <w:color w:val="004194"/>
                              <w:sz w:val="20"/>
                            </w:rPr>
                            <w:br/>
                            <w:t>2017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70.9pt;margin-top:17.5pt;width:595.05pt;height:32.2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" filled="f" stroked="f">
              <v:textbox>
                <w:txbxContent>
                  <w:p w:rsidR="00E26342" w:rsidRDefault="00040788">
                    <w:pPr>
                      <w:tabs>
                        <w:tab w:val="left" w:pos="4111"/>
                      </w:tabs>
                      <w:spacing w:after="0"/>
                      <w:jc w:val="center"/>
                      <w:rPr>
                        <w:rFonts w:ascii="Arial" w:hAnsi="Arial" w:cs="Arial"/>
                        <w:color w:val="004194"/>
                        <w:sz w:val="20"/>
                      </w:rPr>
                    </w:pPr>
                    <w:r>
                      <w:rPr>
                        <w:rFonts w:ascii="Arial" w:hAnsi="Arial" w:cs="Arial"/>
                        <w:color w:val="004194"/>
                        <w:sz w:val="20"/>
                      </w:rPr>
                      <w:t xml:space="preserve">Monitoring the </w:t>
                    </w:r>
                    <w:r>
                      <w:rPr>
                        <w:rFonts w:ascii="Arial" w:hAnsi="Arial" w:cs="Arial"/>
                        <w:color w:val="004194"/>
                        <w:sz w:val="20"/>
                      </w:rPr>
                      <w:t>application of European Union law</w:t>
                    </w:r>
                    <w:r>
                      <w:rPr>
                        <w:rFonts w:ascii="Arial" w:hAnsi="Arial" w:cs="Arial"/>
                        <w:color w:val="004194"/>
                        <w:sz w:val="20"/>
                      </w:rPr>
                      <w:br/>
                      <w:t>2017 Annual Report</w:t>
                    </w:r>
                  </w:p>
                </w:txbxContent>
              </v:textbox>
            </v:shape>
          </w:pict>
        </mc:Fallback>
      </mc:AlternateContent>
    </w:r>
    <w:r>
      <w:rPr>
        <w:noProof/>
        <w:lang w:eastAsia="en-GB"/>
      </w:rPr>
      <mc:AlternateContent>
        <mc:Choice Requires="wps">
          <w:drawing>
            <wp:anchor distT="0" distB="0" distL="114300" distR="114300" simplePos="0" relativeHeight="251617280" behindDoc="0" locked="0" layoutInCell="1" allowOverlap="1" wp14:anchorId="7BA383E0" wp14:editId="4B071D6A">
              <wp:simplePos x="0" y="0"/>
              <wp:positionH relativeFrom="column">
                <wp:posOffset>4821555</wp:posOffset>
              </wp:positionH>
              <wp:positionV relativeFrom="paragraph">
                <wp:posOffset>300355</wp:posOffset>
              </wp:positionV>
              <wp:extent cx="1835150" cy="219075"/>
              <wp:effectExtent l="0" t="0" r="0" b="9525"/>
              <wp:wrapNone/>
              <wp:docPr id="874" name="Rectangle 8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8EB45E0" id="Rectangle 874" o:spid="_x0000_s1026" style="position:absolute;margin-left:379.65pt;margin-top:23.65pt;width:144.5pt;height:17.2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" fillcolor="#004194" stroked="f" strokeweight="2pt">
              <v:path arrowok="t"/>
            </v:rect>
          </w:pict>
        </mc:Fallback>
      </mc:AlternateContent>
    </w:r>
    <w:r>
      <w:rPr>
        <w:noProof/>
        <w:lang w:eastAsia="en-GB"/>
      </w:rPr>
      <mc:AlternateContent>
        <mc:Choice Requires="wps">
          <w:drawing>
            <wp:anchor distT="0" distB="0" distL="114300" distR="114300" simplePos="0" relativeHeight="251616256" behindDoc="0" locked="0" layoutInCell="1" allowOverlap="1" wp14:anchorId="6B003AB4" wp14:editId="02D90B5F">
              <wp:simplePos x="0" y="0"/>
              <wp:positionH relativeFrom="column">
                <wp:posOffset>-900430</wp:posOffset>
              </wp:positionH>
              <wp:positionV relativeFrom="paragraph">
                <wp:posOffset>300355</wp:posOffset>
              </wp:positionV>
              <wp:extent cx="1803400" cy="219075"/>
              <wp:effectExtent l="0" t="0" r="6350" b="9525"/>
              <wp:wrapNone/>
              <wp:docPr id="875" name="Rectangle 8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98C7861" id="Rectangle 875" o:spid="_x0000_s1026" style="position:absolute;margin-left:-70.9pt;margin-top:23.65pt;width:142pt;height:17.2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" fillcolor="#004194" stroked="f" strokeweight="2pt">
              <v:path arrowok="t"/>
            </v:rect>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342" w:rsidRDefault="00E26342">
    <w:pPr>
      <w:pStyle w:val="Header"/>
    </w:pPr>
  </w:p>
  <w:p w:rsidR="00E26342" w:rsidRDefault="00E26342"/>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342" w:rsidRDefault="00040788">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695104" behindDoc="0" locked="0" layoutInCell="1" allowOverlap="1" wp14:anchorId="5B95F847" wp14:editId="2362A18D">
              <wp:simplePos x="0" y="0"/>
              <wp:positionH relativeFrom="column">
                <wp:posOffset>4821555</wp:posOffset>
              </wp:positionH>
              <wp:positionV relativeFrom="paragraph">
                <wp:posOffset>300355</wp:posOffset>
              </wp:positionV>
              <wp:extent cx="1835150" cy="219075"/>
              <wp:effectExtent l="0" t="0" r="0" b="9525"/>
              <wp:wrapNone/>
              <wp:docPr id="904" name="Rectangle 9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92C46B0" id="Rectangle 904" o:spid="_x0000_s1026" style="position:absolute;margin-left:379.65pt;margin-top:23.65pt;width:144.5pt;height:17.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" fillcolor="#004194" stroked="f" strokeweight="2pt">
              <v:path arrowok="t"/>
            </v:rect>
          </w:pict>
        </mc:Fallback>
      </mc:AlternateContent>
    </w:r>
    <w:r>
      <w:rPr>
        <w:noProof/>
        <w:lang w:eastAsia="en-GB"/>
      </w:rPr>
      <mc:AlternateContent>
        <mc:Choice Requires="wps">
          <w:drawing>
            <wp:anchor distT="0" distB="0" distL="114300" distR="114300" simplePos="0" relativeHeight="251694080" behindDoc="0" locked="0" layoutInCell="1" allowOverlap="1" wp14:anchorId="19DC5BF7" wp14:editId="35C0DFFC">
              <wp:simplePos x="0" y="0"/>
              <wp:positionH relativeFrom="column">
                <wp:posOffset>-900430</wp:posOffset>
              </wp:positionH>
              <wp:positionV relativeFrom="paragraph">
                <wp:posOffset>300355</wp:posOffset>
              </wp:positionV>
              <wp:extent cx="1803400" cy="219075"/>
              <wp:effectExtent l="0" t="0" r="6350" b="9525"/>
              <wp:wrapNone/>
              <wp:docPr id="905" name="Rectangle 9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1DD6B3C" id="Rectangle 905" o:spid="_x0000_s1026" style="position:absolute;margin-left:-70.9pt;margin-top:23.65pt;width:142pt;height:17.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" fillcolor="#004194" stroked="f" strokeweight="2pt">
              <v:path arrowok="t"/>
            </v:rect>
          </w:pict>
        </mc:Fallback>
      </mc:AlternateContent>
    </w:r>
  </w:p>
  <w:p w:rsidR="00E26342" w:rsidRDefault="00040788">
    <w:pPr>
      <w:pStyle w:val="Header"/>
    </w:pPr>
    <w:r>
      <w:rPr>
        <w:noProof/>
        <w:lang w:eastAsia="en-GB"/>
      </w:rPr>
      <mc:AlternateContent>
        <mc:Choice Requires="wps">
          <w:drawing>
            <wp:anchor distT="0" distB="0" distL="114300" distR="114300" simplePos="0" relativeHeight="251693056" behindDoc="0" locked="0" layoutInCell="1" allowOverlap="1" wp14:anchorId="435D8470" wp14:editId="75AE97DF">
              <wp:simplePos x="0" y="0"/>
              <wp:positionH relativeFrom="column">
                <wp:posOffset>-899795</wp:posOffset>
              </wp:positionH>
              <wp:positionV relativeFrom="paragraph">
                <wp:posOffset>43815</wp:posOffset>
              </wp:positionV>
              <wp:extent cx="7557135" cy="662940"/>
              <wp:effectExtent l="0" t="0" r="0" b="3810"/>
              <wp:wrapNone/>
              <wp:docPr id="9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662940"/>
                      </a:xfrm>
                      <a:prstGeom prst="rect">
                        <a:avLst/>
                      </a:prstGeom>
                      <a:noFill/>
                      <a:ln w="9525">
                        <a:noFill/>
                        <a:miter lim="800000"/>
                        <a:headEnd/>
                        <a:tailEnd/>
                      </a:ln>
                    </wps:spPr>
                    <wps:txbx>
                      <w:txbxContent>
                        <w:p w:rsidR="00E26342" w:rsidRDefault="00040788">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2017 Annual Report</w:t>
                          </w:r>
                        </w:p>
                        <w:p w:rsidR="00E26342" w:rsidRDefault="00040788">
                          <w:pPr>
                            <w:spacing w:after="0"/>
                            <w:jc w:val="center"/>
                            <w:rPr>
                              <w:rFonts w:ascii="Arial" w:hAnsi="Arial" w:cs="Arial"/>
                              <w:b/>
                              <w:color w:val="A6A6A6"/>
                              <w:sz w:val="22"/>
                              <w:szCs w:val="22"/>
                            </w:rPr>
                          </w:pPr>
                          <w:r>
                            <w:rPr>
                              <w:rFonts w:ascii="Arial" w:hAnsi="Arial"/>
                              <w:color w:val="A6A6A6"/>
                              <w:sz w:val="22"/>
                            </w:rPr>
                            <w:t>Austria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2" type="#_x0000_t202" style="position:absolute;left:0;text-align:left;margin-left:-70.85pt;margin-top:3.45pt;width:595.05pt;height:52.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" filled="f" stroked="f">
              <v:textbox>
                <w:txbxContent>
                  <w:p w:rsidR="00E26342" w:rsidRDefault="00040788">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2017 Annual Report</w:t>
                    </w:r>
                  </w:p>
                  <w:p w:rsidR="00E26342" w:rsidRDefault="00040788">
                    <w:pPr>
                      <w:spacing w:after="0"/>
                      <w:jc w:val="center"/>
                      <w:rPr>
                        <w:rFonts w:ascii="Arial" w:hAnsi="Arial" w:cs="Arial"/>
                        <w:b/>
                        <w:color w:val="A6A6A6"/>
                        <w:sz w:val="22"/>
                        <w:szCs w:val="22"/>
                      </w:rPr>
                    </w:pPr>
                    <w:r>
                      <w:rPr>
                        <w:rFonts w:ascii="Arial" w:hAnsi="Arial"/>
                        <w:color w:val="A6A6A6"/>
                        <w:sz w:val="22"/>
                      </w:rPr>
                      <w:t>Austria</w:t>
                    </w:r>
                  </w:p>
                </w:txbxContent>
              </v:textbox>
            </v:shape>
          </w:pict>
        </mc:Fallback>
      </mc:AlternateContent>
    </w:r>
  </w:p>
  <w:p w:rsidR="00E26342" w:rsidRDefault="00040788">
    <w:r>
      <w:rPr>
        <w:noProof/>
        <w:lang w:eastAsia="en-GB"/>
      </w:rPr>
      <mc:AlternateContent>
        <mc:Choice Requires="wps">
          <w:drawing>
            <wp:anchor distT="0" distB="0" distL="114300" distR="114300" simplePos="0" relativeHeight="251696128" behindDoc="0" locked="0" layoutInCell="1" allowOverlap="1" wp14:anchorId="46054863" wp14:editId="53B6D9E7">
              <wp:simplePos x="0" y="0"/>
              <wp:positionH relativeFrom="column">
                <wp:posOffset>-902970</wp:posOffset>
              </wp:positionH>
              <wp:positionV relativeFrom="paragraph">
                <wp:posOffset>363855</wp:posOffset>
              </wp:positionV>
              <wp:extent cx="7559675" cy="45085"/>
              <wp:effectExtent l="0" t="19050" r="0" b="12065"/>
              <wp:wrapNone/>
              <wp:docPr id="9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085"/>
                      </a:xfrm>
                      <a:prstGeom prst="rect">
                        <a:avLst/>
                      </a:prstGeom>
                      <a:noFill/>
                      <a:ln w="9525">
                        <a:noFill/>
                        <a:miter lim="800000"/>
                        <a:headEnd/>
                        <a:tailEnd/>
                      </a:ln>
                    </wps:spPr>
                    <wps:txbx>
                      <w:txbxContent>
                        <w:p w:rsidR="00E26342" w:rsidRDefault="00E26342">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71.1pt;margin-top:28.65pt;width:595.25pt;height:3.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" filled="f" stroked="f">
              <v:textbox>
                <w:txbxContent>
                  <w:p w:rsidR="00E26342" w:rsidRDefault="00E26342">
                    <w:pPr>
                      <w:pStyle w:val="Priorities"/>
                      <w:ind w:right="555"/>
                      <w:jc w:val="both"/>
                      <w:rPr>
                        <w:color w:val="808080"/>
                        <w:lang w:val="de-DE"/>
                      </w:rPr>
                    </w:pPr>
                  </w:p>
                </w:txbxContent>
              </v:textbox>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342" w:rsidRDefault="00040788">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692032" behindDoc="0" locked="0" layoutInCell="1" allowOverlap="1" wp14:anchorId="28D247E3" wp14:editId="261CA88E">
              <wp:simplePos x="0" y="0"/>
              <wp:positionH relativeFrom="column">
                <wp:posOffset>-900430</wp:posOffset>
              </wp:positionH>
              <wp:positionV relativeFrom="paragraph">
                <wp:posOffset>630555</wp:posOffset>
              </wp:positionV>
              <wp:extent cx="7559675" cy="45720"/>
              <wp:effectExtent l="0" t="19050" r="0" b="11430"/>
              <wp:wrapNone/>
              <wp:docPr id="9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rsidR="00E26342" w:rsidRDefault="00E26342">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4" type="#_x0000_t202" style="position:absolute;left:0;text-align:left;margin-left:-70.9pt;margin-top:49.65pt;width:595.25pt;height:3.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" filled="f" stroked="f">
              <v:textbox>
                <w:txbxContent>
                  <w:p w:rsidR="00E26342" w:rsidRDefault="00E26342">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688960" behindDoc="0" locked="0" layoutInCell="1" allowOverlap="1" wp14:anchorId="347B284D" wp14:editId="73C5EE35">
              <wp:simplePos x="0" y="0"/>
              <wp:positionH relativeFrom="column">
                <wp:posOffset>-900430</wp:posOffset>
              </wp:positionH>
              <wp:positionV relativeFrom="paragraph">
                <wp:posOffset>222250</wp:posOffset>
              </wp:positionV>
              <wp:extent cx="7557135" cy="408940"/>
              <wp:effectExtent l="0" t="0" r="0" b="0"/>
              <wp:wrapNone/>
              <wp:docPr id="9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rsidR="00E26342" w:rsidRDefault="00040788">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2017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70.9pt;margin-top:17.5pt;width:595.05pt;height:32.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" filled="f" stroked="f">
              <v:textbox>
                <w:txbxContent>
                  <w:p w:rsidR="00E26342" w:rsidRDefault="00040788">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2017 Annual Report</w:t>
                    </w:r>
                  </w:p>
                </w:txbxContent>
              </v:textbox>
            </v:shape>
          </w:pict>
        </mc:Fallback>
      </mc:AlternateContent>
    </w:r>
    <w:r>
      <w:rPr>
        <w:noProof/>
        <w:lang w:eastAsia="en-GB"/>
      </w:rPr>
      <mc:AlternateContent>
        <mc:Choice Requires="wps">
          <w:drawing>
            <wp:anchor distT="0" distB="0" distL="114300" distR="114300" simplePos="0" relativeHeight="251691008" behindDoc="0" locked="0" layoutInCell="1" allowOverlap="1" wp14:anchorId="0B505819" wp14:editId="24507FB1">
              <wp:simplePos x="0" y="0"/>
              <wp:positionH relativeFrom="column">
                <wp:posOffset>4821555</wp:posOffset>
              </wp:positionH>
              <wp:positionV relativeFrom="paragraph">
                <wp:posOffset>300355</wp:posOffset>
              </wp:positionV>
              <wp:extent cx="1835150" cy="219075"/>
              <wp:effectExtent l="0" t="0" r="0" b="9525"/>
              <wp:wrapNone/>
              <wp:docPr id="908" name="Rectangle 9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1A9808F" id="Rectangle 908" o:spid="_x0000_s1026" style="position:absolute;margin-left:379.65pt;margin-top:23.65pt;width:144.5pt;height:17.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" fillcolor="#004194" stroked="f" strokeweight="2pt">
              <v:path arrowok="t"/>
            </v:rect>
          </w:pict>
        </mc:Fallback>
      </mc:AlternateContent>
    </w:r>
    <w:r>
      <w:rPr>
        <w:noProof/>
        <w:lang w:eastAsia="en-GB"/>
      </w:rPr>
      <mc:AlternateContent>
        <mc:Choice Requires="wps">
          <w:drawing>
            <wp:anchor distT="0" distB="0" distL="114300" distR="114300" simplePos="0" relativeHeight="251689984" behindDoc="0" locked="0" layoutInCell="1" allowOverlap="1" wp14:anchorId="3F3F5D27" wp14:editId="7CE56F51">
              <wp:simplePos x="0" y="0"/>
              <wp:positionH relativeFrom="column">
                <wp:posOffset>-900430</wp:posOffset>
              </wp:positionH>
              <wp:positionV relativeFrom="paragraph">
                <wp:posOffset>300355</wp:posOffset>
              </wp:positionV>
              <wp:extent cx="1803400" cy="219075"/>
              <wp:effectExtent l="0" t="0" r="6350" b="9525"/>
              <wp:wrapNone/>
              <wp:docPr id="909" name="Rectangle 9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28D772D" id="Rectangle 909" o:spid="_x0000_s1026" style="position:absolute;margin-left:-70.9pt;margin-top:23.65pt;width:142pt;height:17.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" fillcolor="#004194" stroked="f" strokeweight="2pt">
              <v:path arrowok="t"/>
            </v:rect>
          </w:pict>
        </mc:Fallback>
      </mc:AlternateContent>
    </w:r>
  </w:p>
  <w:p w:rsidR="00E26342" w:rsidRDefault="00E26342"/>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342" w:rsidRDefault="00E26342">
    <w:pPr>
      <w:pStyle w:val="Header"/>
    </w:pPr>
  </w:p>
  <w:p w:rsidR="00E26342" w:rsidRDefault="00E2634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788" w:rsidRPr="00040788" w:rsidRDefault="00040788" w:rsidP="00040788">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342" w:rsidRDefault="00040788">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703296" behindDoc="0" locked="0" layoutInCell="1" allowOverlap="1" wp14:anchorId="08EC6194" wp14:editId="6F681480">
              <wp:simplePos x="0" y="0"/>
              <wp:positionH relativeFrom="column">
                <wp:posOffset>4821555</wp:posOffset>
              </wp:positionH>
              <wp:positionV relativeFrom="paragraph">
                <wp:posOffset>300355</wp:posOffset>
              </wp:positionV>
              <wp:extent cx="1835150" cy="219075"/>
              <wp:effectExtent l="0" t="0" r="0" b="9525"/>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EB912F2" id="Rectangle 58" o:spid="_x0000_s1026" style="position:absolute;margin-left:379.65pt;margin-top:23.65pt;width:144.5pt;height:17.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" fillcolor="#004194" stroked="f" strokeweight="2pt">
              <v:path arrowok="t"/>
            </v:rect>
          </w:pict>
        </mc:Fallback>
      </mc:AlternateContent>
    </w:r>
    <w:r>
      <w:rPr>
        <w:noProof/>
        <w:lang w:eastAsia="en-GB"/>
      </w:rPr>
      <mc:AlternateContent>
        <mc:Choice Requires="wps">
          <w:drawing>
            <wp:anchor distT="0" distB="0" distL="114300" distR="114300" simplePos="0" relativeHeight="251702272" behindDoc="0" locked="0" layoutInCell="1" allowOverlap="1" wp14:anchorId="06E75303" wp14:editId="73684BC4">
              <wp:simplePos x="0" y="0"/>
              <wp:positionH relativeFrom="column">
                <wp:posOffset>-900430</wp:posOffset>
              </wp:positionH>
              <wp:positionV relativeFrom="paragraph">
                <wp:posOffset>300355</wp:posOffset>
              </wp:positionV>
              <wp:extent cx="1803400" cy="219075"/>
              <wp:effectExtent l="0" t="0" r="6350" b="9525"/>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23E5CF3" id="Rectangle 59" o:spid="_x0000_s1026" style="position:absolute;margin-left:-70.9pt;margin-top:23.65pt;width:142pt;height:17.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" fillcolor="#004194" stroked="f" strokeweight="2pt">
              <v:path arrowok="t"/>
            </v:rect>
          </w:pict>
        </mc:Fallback>
      </mc:AlternateContent>
    </w:r>
  </w:p>
  <w:p w:rsidR="00E26342" w:rsidRDefault="00040788">
    <w:pPr>
      <w:pStyle w:val="Header"/>
    </w:pPr>
    <w:r>
      <w:rPr>
        <w:noProof/>
        <w:lang w:eastAsia="en-GB"/>
      </w:rPr>
      <mc:AlternateContent>
        <mc:Choice Requires="wps">
          <w:drawing>
            <wp:anchor distT="0" distB="0" distL="114300" distR="114300" simplePos="0" relativeHeight="251701248" behindDoc="0" locked="0" layoutInCell="1" allowOverlap="1" wp14:anchorId="032F8875" wp14:editId="51929358">
              <wp:simplePos x="0" y="0"/>
              <wp:positionH relativeFrom="column">
                <wp:posOffset>-899795</wp:posOffset>
              </wp:positionH>
              <wp:positionV relativeFrom="paragraph">
                <wp:posOffset>43815</wp:posOffset>
              </wp:positionV>
              <wp:extent cx="7557135" cy="662940"/>
              <wp:effectExtent l="0" t="0" r="0" b="381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662940"/>
                      </a:xfrm>
                      <a:prstGeom prst="rect">
                        <a:avLst/>
                      </a:prstGeom>
                      <a:noFill/>
                      <a:ln w="9525">
                        <a:noFill/>
                        <a:miter lim="800000"/>
                        <a:headEnd/>
                        <a:tailEnd/>
                      </a:ln>
                    </wps:spPr>
                    <wps:txbx>
                      <w:txbxContent>
                        <w:p w:rsidR="00E26342" w:rsidRDefault="00040788">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2017 Annual Report</w:t>
                          </w:r>
                        </w:p>
                        <w:p w:rsidR="00E26342" w:rsidRDefault="00040788">
                          <w:pPr>
                            <w:spacing w:after="0"/>
                            <w:jc w:val="center"/>
                            <w:rPr>
                              <w:rFonts w:ascii="Arial" w:hAnsi="Arial" w:cs="Arial"/>
                              <w:b/>
                              <w:color w:val="A6A6A6"/>
                              <w:sz w:val="22"/>
                              <w:szCs w:val="22"/>
                            </w:rPr>
                          </w:pPr>
                          <w:r>
                            <w:rPr>
                              <w:rFonts w:ascii="Arial" w:hAnsi="Arial"/>
                              <w:color w:val="A6A6A6"/>
                              <w:sz w:val="22"/>
                            </w:rPr>
                            <w:t>Poland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6" type="#_x0000_t202" style="position:absolute;left:0;text-align:left;margin-left:-70.85pt;margin-top:3.45pt;width:595.05pt;height:52.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" filled="f" stroked="f">
              <v:textbox>
                <w:txbxContent>
                  <w:p w:rsidR="00E26342" w:rsidRDefault="00040788">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2017 Annual Report</w:t>
                    </w:r>
                  </w:p>
                  <w:p w:rsidR="00E26342" w:rsidRDefault="00040788">
                    <w:pPr>
                      <w:spacing w:after="0"/>
                      <w:jc w:val="center"/>
                      <w:rPr>
                        <w:rFonts w:ascii="Arial" w:hAnsi="Arial" w:cs="Arial"/>
                        <w:b/>
                        <w:color w:val="A6A6A6"/>
                        <w:sz w:val="22"/>
                        <w:szCs w:val="22"/>
                      </w:rPr>
                    </w:pPr>
                    <w:r>
                      <w:rPr>
                        <w:rFonts w:ascii="Arial" w:hAnsi="Arial"/>
                        <w:color w:val="A6A6A6"/>
                        <w:sz w:val="22"/>
                      </w:rPr>
                      <w:t>Poland</w:t>
                    </w:r>
                  </w:p>
                </w:txbxContent>
              </v:textbox>
            </v:shape>
          </w:pict>
        </mc:Fallback>
      </mc:AlternateContent>
    </w:r>
  </w:p>
  <w:p w:rsidR="00E26342" w:rsidRDefault="00040788">
    <w:r>
      <w:rPr>
        <w:noProof/>
        <w:lang w:eastAsia="en-GB"/>
      </w:rPr>
      <mc:AlternateContent>
        <mc:Choice Requires="wps">
          <w:drawing>
            <wp:anchor distT="0" distB="0" distL="114300" distR="114300" simplePos="0" relativeHeight="251704320" behindDoc="0" locked="0" layoutInCell="1" allowOverlap="1" wp14:anchorId="7F2B8291" wp14:editId="433CDF39">
              <wp:simplePos x="0" y="0"/>
              <wp:positionH relativeFrom="column">
                <wp:posOffset>-902970</wp:posOffset>
              </wp:positionH>
              <wp:positionV relativeFrom="paragraph">
                <wp:posOffset>363855</wp:posOffset>
              </wp:positionV>
              <wp:extent cx="7559675" cy="45085"/>
              <wp:effectExtent l="0" t="19050" r="0" b="12065"/>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085"/>
                      </a:xfrm>
                      <a:prstGeom prst="rect">
                        <a:avLst/>
                      </a:prstGeom>
                      <a:noFill/>
                      <a:ln w="9525">
                        <a:noFill/>
                        <a:miter lim="800000"/>
                        <a:headEnd/>
                        <a:tailEnd/>
                      </a:ln>
                    </wps:spPr>
                    <wps:txbx>
                      <w:txbxContent>
                        <w:p w:rsidR="00E26342" w:rsidRDefault="00E26342">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71.1pt;margin-top:28.65pt;width:595.25pt;height:3.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" filled="f" stroked="f">
              <v:textbox>
                <w:txbxContent>
                  <w:p w:rsidR="00E26342" w:rsidRDefault="00E26342">
                    <w:pPr>
                      <w:pStyle w:val="Priorities"/>
                      <w:ind w:right="555"/>
                      <w:jc w:val="both"/>
                      <w:rPr>
                        <w:color w:val="808080"/>
                        <w:lang w:val="de-DE"/>
                      </w:rPr>
                    </w:pPr>
                  </w:p>
                </w:txbxContent>
              </v:textbox>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342" w:rsidRDefault="00040788">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700224" behindDoc="0" locked="0" layoutInCell="1" allowOverlap="1" wp14:anchorId="114C72CA" wp14:editId="3CDC6422">
              <wp:simplePos x="0" y="0"/>
              <wp:positionH relativeFrom="column">
                <wp:posOffset>-900430</wp:posOffset>
              </wp:positionH>
              <wp:positionV relativeFrom="paragraph">
                <wp:posOffset>630555</wp:posOffset>
              </wp:positionV>
              <wp:extent cx="7559675" cy="45720"/>
              <wp:effectExtent l="0" t="19050" r="0" b="1143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rsidR="00E26342" w:rsidRDefault="00E26342">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8" type="#_x0000_t202" style="position:absolute;left:0;text-align:left;margin-left:-70.9pt;margin-top:49.65pt;width:595.25pt;height:3.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" filled="f" stroked="f">
              <v:textbox>
                <w:txbxContent>
                  <w:p w:rsidR="00E26342" w:rsidRDefault="00E26342">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697152" behindDoc="0" locked="0" layoutInCell="1" allowOverlap="1" wp14:anchorId="6DFA4165" wp14:editId="34AB9FC0">
              <wp:simplePos x="0" y="0"/>
              <wp:positionH relativeFrom="column">
                <wp:posOffset>-900430</wp:posOffset>
              </wp:positionH>
              <wp:positionV relativeFrom="paragraph">
                <wp:posOffset>222250</wp:posOffset>
              </wp:positionV>
              <wp:extent cx="7557135" cy="408940"/>
              <wp:effectExtent l="0" t="0" r="0"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rsidR="00E26342" w:rsidRDefault="00040788">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2017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70.9pt;margin-top:17.5pt;width:595.05pt;height:32.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" filled="f" stroked="f">
              <v:textbox>
                <w:txbxContent>
                  <w:p w:rsidR="00E26342" w:rsidRDefault="00040788">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2017 Annual Report</w:t>
                    </w:r>
                  </w:p>
                </w:txbxContent>
              </v:textbox>
            </v:shape>
          </w:pict>
        </mc:Fallback>
      </mc:AlternateContent>
    </w:r>
    <w:r>
      <w:rPr>
        <w:noProof/>
        <w:lang w:eastAsia="en-GB"/>
      </w:rPr>
      <mc:AlternateContent>
        <mc:Choice Requires="wps">
          <w:drawing>
            <wp:anchor distT="0" distB="0" distL="114300" distR="114300" simplePos="0" relativeHeight="251699200" behindDoc="0" locked="0" layoutInCell="1" allowOverlap="1" wp14:anchorId="371C5D58" wp14:editId="5635D594">
              <wp:simplePos x="0" y="0"/>
              <wp:positionH relativeFrom="column">
                <wp:posOffset>4821555</wp:posOffset>
              </wp:positionH>
              <wp:positionV relativeFrom="paragraph">
                <wp:posOffset>300355</wp:posOffset>
              </wp:positionV>
              <wp:extent cx="1835150" cy="219075"/>
              <wp:effectExtent l="0" t="0" r="0" b="9525"/>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3DB71AC" id="Rectangle 56" o:spid="_x0000_s1026" style="position:absolute;margin-left:379.65pt;margin-top:23.65pt;width:144.5pt;height:17.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698176" behindDoc="0" locked="0" layoutInCell="1" allowOverlap="1" wp14:anchorId="6A4F7C15" wp14:editId="0658325C">
              <wp:simplePos x="0" y="0"/>
              <wp:positionH relativeFrom="column">
                <wp:posOffset>-900430</wp:posOffset>
              </wp:positionH>
              <wp:positionV relativeFrom="paragraph">
                <wp:posOffset>300355</wp:posOffset>
              </wp:positionV>
              <wp:extent cx="1803400" cy="219075"/>
              <wp:effectExtent l="0" t="0" r="6350" b="9525"/>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286BE35" id="Rectangle 57" o:spid="_x0000_s1026" style="position:absolute;margin-left:-70.9pt;margin-top:23.65pt;width:142pt;height:17.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" fillcolor="#004194" stroked="f" strokeweight="2pt">
              <v:path arrowok="t"/>
            </v:rect>
          </w:pict>
        </mc:Fallback>
      </mc:AlternateContent>
    </w:r>
  </w:p>
  <w:p w:rsidR="00E26342" w:rsidRDefault="00E26342"/>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342" w:rsidRDefault="00E26342">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342" w:rsidRDefault="00040788">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637760" behindDoc="0" locked="0" layoutInCell="1" allowOverlap="1" wp14:anchorId="0090A926" wp14:editId="48B5D359">
              <wp:simplePos x="0" y="0"/>
              <wp:positionH relativeFrom="column">
                <wp:posOffset>4821555</wp:posOffset>
              </wp:positionH>
              <wp:positionV relativeFrom="paragraph">
                <wp:posOffset>300355</wp:posOffset>
              </wp:positionV>
              <wp:extent cx="1835150" cy="219075"/>
              <wp:effectExtent l="0" t="0" r="0" b="9525"/>
              <wp:wrapNone/>
              <wp:docPr id="935" name="Rectangle 9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4EE16E9" id="Rectangle 935" o:spid="_x0000_s1026" style="position:absolute;margin-left:379.65pt;margin-top:23.65pt;width:144.5pt;height:17.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" fillcolor="#004194" stroked="f" strokeweight="2pt">
              <v:path arrowok="t"/>
            </v:rect>
          </w:pict>
        </mc:Fallback>
      </mc:AlternateContent>
    </w:r>
    <w:r>
      <w:rPr>
        <w:noProof/>
        <w:lang w:eastAsia="en-GB"/>
      </w:rPr>
      <mc:AlternateContent>
        <mc:Choice Requires="wps">
          <w:drawing>
            <wp:anchor distT="0" distB="0" distL="114300" distR="114300" simplePos="0" relativeHeight="251636736" behindDoc="0" locked="0" layoutInCell="1" allowOverlap="1" wp14:anchorId="0279CE2F" wp14:editId="15E79FA4">
              <wp:simplePos x="0" y="0"/>
              <wp:positionH relativeFrom="column">
                <wp:posOffset>-900430</wp:posOffset>
              </wp:positionH>
              <wp:positionV relativeFrom="paragraph">
                <wp:posOffset>300355</wp:posOffset>
              </wp:positionV>
              <wp:extent cx="1803400" cy="219075"/>
              <wp:effectExtent l="0" t="0" r="6350" b="9525"/>
              <wp:wrapNone/>
              <wp:docPr id="936" name="Rectangle 9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D9BE616" id="Rectangle 936" o:spid="_x0000_s1026" style="position:absolute;margin-left:-70.9pt;margin-top:23.65pt;width:142pt;height:17.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" fillcolor="#004194" stroked="f" strokeweight="2pt">
              <v:path arrowok="t"/>
            </v:rect>
          </w:pict>
        </mc:Fallback>
      </mc:AlternateContent>
    </w:r>
  </w:p>
  <w:p w:rsidR="00E26342" w:rsidRDefault="00040788">
    <w:pPr>
      <w:pStyle w:val="Header"/>
    </w:pPr>
    <w:r>
      <w:rPr>
        <w:noProof/>
        <w:lang w:eastAsia="en-GB"/>
      </w:rPr>
      <mc:AlternateContent>
        <mc:Choice Requires="wps">
          <w:drawing>
            <wp:anchor distT="0" distB="0" distL="114300" distR="114300" simplePos="0" relativeHeight="251638784" behindDoc="0" locked="0" layoutInCell="1" allowOverlap="1" wp14:anchorId="71E423C1" wp14:editId="583C9767">
              <wp:simplePos x="0" y="0"/>
              <wp:positionH relativeFrom="column">
                <wp:posOffset>-899795</wp:posOffset>
              </wp:positionH>
              <wp:positionV relativeFrom="paragraph">
                <wp:posOffset>462915</wp:posOffset>
              </wp:positionV>
              <wp:extent cx="7559675" cy="83820"/>
              <wp:effectExtent l="0" t="0" r="0" b="0"/>
              <wp:wrapNone/>
              <wp:docPr id="9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83820"/>
                      </a:xfrm>
                      <a:prstGeom prst="rect">
                        <a:avLst/>
                      </a:prstGeom>
                      <a:noFill/>
                      <a:ln w="9525">
                        <a:noFill/>
                        <a:miter lim="800000"/>
                        <a:headEnd/>
                        <a:tailEnd/>
                      </a:ln>
                    </wps:spPr>
                    <wps:txbx>
                      <w:txbxContent>
                        <w:p w:rsidR="00E26342" w:rsidRDefault="00E26342">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0" type="#_x0000_t202" style="position:absolute;left:0;text-align:left;margin-left:-70.85pt;margin-top:36.45pt;width:595.25pt;height:6.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" filled="f" stroked="f">
              <v:textbox>
                <w:txbxContent>
                  <w:p w:rsidR="00E26342" w:rsidRDefault="00E26342">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634688" behindDoc="0" locked="0" layoutInCell="1" allowOverlap="1" wp14:anchorId="278920AA" wp14:editId="52B6CFDB">
              <wp:simplePos x="0" y="0"/>
              <wp:positionH relativeFrom="column">
                <wp:posOffset>-899795</wp:posOffset>
              </wp:positionH>
              <wp:positionV relativeFrom="paragraph">
                <wp:posOffset>43815</wp:posOffset>
              </wp:positionV>
              <wp:extent cx="7557135" cy="716280"/>
              <wp:effectExtent l="0" t="0" r="0" b="0"/>
              <wp:wrapNone/>
              <wp:docPr id="9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716280"/>
                      </a:xfrm>
                      <a:prstGeom prst="rect">
                        <a:avLst/>
                      </a:prstGeom>
                      <a:noFill/>
                      <a:ln w="9525">
                        <a:noFill/>
                        <a:miter lim="800000"/>
                        <a:headEnd/>
                        <a:tailEnd/>
                      </a:ln>
                    </wps:spPr>
                    <wps:txbx>
                      <w:txbxContent>
                        <w:p w:rsidR="00E26342" w:rsidRDefault="00040788">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2017 Annual Report</w:t>
                          </w:r>
                        </w:p>
                        <w:p w:rsidR="00E26342" w:rsidRDefault="00040788">
                          <w:pPr>
                            <w:spacing w:after="0"/>
                            <w:jc w:val="center"/>
                            <w:rPr>
                              <w:rFonts w:ascii="Arial" w:hAnsi="Arial" w:cs="Arial"/>
                              <w:b/>
                              <w:color w:val="A6A6A6"/>
                              <w:sz w:val="22"/>
                              <w:szCs w:val="22"/>
                            </w:rPr>
                          </w:pPr>
                          <w:r>
                            <w:rPr>
                              <w:rFonts w:ascii="Arial" w:hAnsi="Arial"/>
                              <w:color w:val="A6A6A6"/>
                              <w:sz w:val="22"/>
                            </w:rPr>
                            <w:t>Portugal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70.85pt;margin-top:3.45pt;width:595.05pt;height:56.4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" filled="f" stroked="f">
              <v:textbox>
                <w:txbxContent>
                  <w:p w:rsidR="00E26342" w:rsidRDefault="00040788">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2017 Annual Report</w:t>
                    </w:r>
                  </w:p>
                  <w:p w:rsidR="00E26342" w:rsidRDefault="00040788">
                    <w:pPr>
                      <w:spacing w:after="0"/>
                      <w:jc w:val="center"/>
                      <w:rPr>
                        <w:rFonts w:ascii="Arial" w:hAnsi="Arial" w:cs="Arial"/>
                        <w:b/>
                        <w:color w:val="A6A6A6"/>
                        <w:sz w:val="22"/>
                        <w:szCs w:val="22"/>
                      </w:rPr>
                    </w:pPr>
                    <w:r>
                      <w:rPr>
                        <w:rFonts w:ascii="Arial" w:hAnsi="Arial"/>
                        <w:color w:val="A6A6A6"/>
                        <w:sz w:val="22"/>
                      </w:rPr>
                      <w:t>Portugal</w:t>
                    </w:r>
                  </w:p>
                </w:txbxContent>
              </v:textbox>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342" w:rsidRDefault="00040788">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633664" behindDoc="0" locked="0" layoutInCell="1" allowOverlap="1" wp14:anchorId="4A50E3F1" wp14:editId="1C457729">
              <wp:simplePos x="0" y="0"/>
              <wp:positionH relativeFrom="column">
                <wp:posOffset>-900430</wp:posOffset>
              </wp:positionH>
              <wp:positionV relativeFrom="paragraph">
                <wp:posOffset>630555</wp:posOffset>
              </wp:positionV>
              <wp:extent cx="7559675" cy="45720"/>
              <wp:effectExtent l="0" t="19050" r="0" b="11430"/>
              <wp:wrapNone/>
              <wp:docPr id="9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rsidR="00E26342" w:rsidRDefault="00E26342">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2" type="#_x0000_t202" style="position:absolute;left:0;text-align:left;margin-left:-70.9pt;margin-top:49.65pt;width:595.25pt;height:3.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" filled="f" stroked="f">
              <v:textbox>
                <w:txbxContent>
                  <w:p w:rsidR="00E26342" w:rsidRDefault="00E26342">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629568" behindDoc="0" locked="0" layoutInCell="1" allowOverlap="1" wp14:anchorId="2FF914DF" wp14:editId="01A2729A">
              <wp:simplePos x="0" y="0"/>
              <wp:positionH relativeFrom="column">
                <wp:posOffset>-900430</wp:posOffset>
              </wp:positionH>
              <wp:positionV relativeFrom="paragraph">
                <wp:posOffset>222250</wp:posOffset>
              </wp:positionV>
              <wp:extent cx="7557135" cy="408940"/>
              <wp:effectExtent l="0" t="0" r="0" b="0"/>
              <wp:wrapNone/>
              <wp:docPr id="9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rsidR="00E26342" w:rsidRDefault="00040788">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2017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70.9pt;margin-top:17.5pt;width:595.05pt;height:32.2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" filled="f" stroked="f">
              <v:textbox>
                <w:txbxContent>
                  <w:p w:rsidR="00E26342" w:rsidRDefault="00040788">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2017 Annual Report</w:t>
                    </w:r>
                  </w:p>
                </w:txbxContent>
              </v:textbox>
            </v:shape>
          </w:pict>
        </mc:Fallback>
      </mc:AlternateContent>
    </w:r>
    <w:r>
      <w:rPr>
        <w:noProof/>
        <w:lang w:eastAsia="en-GB"/>
      </w:rPr>
      <mc:AlternateContent>
        <mc:Choice Requires="wps">
          <w:drawing>
            <wp:anchor distT="0" distB="0" distL="114300" distR="114300" simplePos="0" relativeHeight="251632640" behindDoc="0" locked="0" layoutInCell="1" allowOverlap="1" wp14:anchorId="50132B47" wp14:editId="0A701884">
              <wp:simplePos x="0" y="0"/>
              <wp:positionH relativeFrom="column">
                <wp:posOffset>4821555</wp:posOffset>
              </wp:positionH>
              <wp:positionV relativeFrom="paragraph">
                <wp:posOffset>300355</wp:posOffset>
              </wp:positionV>
              <wp:extent cx="1835150" cy="219075"/>
              <wp:effectExtent l="0" t="0" r="0" b="9525"/>
              <wp:wrapNone/>
              <wp:docPr id="939" name="Rectangle 9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D10BC51" id="Rectangle 939" o:spid="_x0000_s1026" style="position:absolute;margin-left:379.65pt;margin-top:23.65pt;width:144.5pt;height:17.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" fillcolor="#004194" stroked="f" strokeweight="2pt">
              <v:path arrowok="t"/>
            </v:rect>
          </w:pict>
        </mc:Fallback>
      </mc:AlternateContent>
    </w:r>
    <w:r>
      <w:rPr>
        <w:noProof/>
        <w:lang w:eastAsia="en-GB"/>
      </w:rPr>
      <mc:AlternateContent>
        <mc:Choice Requires="wps">
          <w:drawing>
            <wp:anchor distT="0" distB="0" distL="114300" distR="114300" simplePos="0" relativeHeight="251631616" behindDoc="0" locked="0" layoutInCell="1" allowOverlap="1" wp14:anchorId="0969371B" wp14:editId="2473AE4C">
              <wp:simplePos x="0" y="0"/>
              <wp:positionH relativeFrom="column">
                <wp:posOffset>-900430</wp:posOffset>
              </wp:positionH>
              <wp:positionV relativeFrom="paragraph">
                <wp:posOffset>300355</wp:posOffset>
              </wp:positionV>
              <wp:extent cx="1803400" cy="219075"/>
              <wp:effectExtent l="0" t="0" r="6350" b="9525"/>
              <wp:wrapNone/>
              <wp:docPr id="940" name="Rectangle 9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745C661" id="Rectangle 940" o:spid="_x0000_s1026" style="position:absolute;margin-left:-70.9pt;margin-top:23.65pt;width:142pt;height:17.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" fillcolor="#004194" stroked="f" strokeweight="2pt">
              <v:path arrowok="t"/>
            </v:rect>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342" w:rsidRDefault="00E26342">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342" w:rsidRDefault="00040788">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646976" behindDoc="0" locked="0" layoutInCell="1" allowOverlap="1" wp14:anchorId="04F268E3" wp14:editId="62AE86AF">
              <wp:simplePos x="0" y="0"/>
              <wp:positionH relativeFrom="column">
                <wp:posOffset>-900430</wp:posOffset>
              </wp:positionH>
              <wp:positionV relativeFrom="paragraph">
                <wp:posOffset>630555</wp:posOffset>
              </wp:positionV>
              <wp:extent cx="7559675" cy="45720"/>
              <wp:effectExtent l="0" t="19050" r="0" b="11430"/>
              <wp:wrapNone/>
              <wp:docPr id="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rsidR="00E26342" w:rsidRDefault="00E26342">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4" type="#_x0000_t202" style="position:absolute;left:0;text-align:left;margin-left:-70.9pt;margin-top:49.65pt;width:595.25pt;height:3.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" filled="f" stroked="f">
              <v:textbox>
                <w:txbxContent>
                  <w:p w:rsidR="00E26342" w:rsidRDefault="00E26342">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645952" behindDoc="0" locked="0" layoutInCell="1" allowOverlap="1" wp14:anchorId="5C71C695" wp14:editId="13DC2842">
              <wp:simplePos x="0" y="0"/>
              <wp:positionH relativeFrom="column">
                <wp:posOffset>4821555</wp:posOffset>
              </wp:positionH>
              <wp:positionV relativeFrom="paragraph">
                <wp:posOffset>300355</wp:posOffset>
              </wp:positionV>
              <wp:extent cx="1835150" cy="219075"/>
              <wp:effectExtent l="0" t="0" r="0" b="9525"/>
              <wp:wrapNone/>
              <wp:docPr id="14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361F5F4" id="Rectangle 141" o:spid="_x0000_s1026" style="position:absolute;margin-left:379.65pt;margin-top:23.65pt;width:144.5pt;height:17.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644928" behindDoc="0" locked="0" layoutInCell="1" allowOverlap="1" wp14:anchorId="0001358F" wp14:editId="497070A9">
              <wp:simplePos x="0" y="0"/>
              <wp:positionH relativeFrom="column">
                <wp:posOffset>-900430</wp:posOffset>
              </wp:positionH>
              <wp:positionV relativeFrom="paragraph">
                <wp:posOffset>300355</wp:posOffset>
              </wp:positionV>
              <wp:extent cx="1803400" cy="219075"/>
              <wp:effectExtent l="0" t="0" r="6350" b="9525"/>
              <wp:wrapNone/>
              <wp:docPr id="142"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B1285D8" id="Rectangle 142" o:spid="_x0000_s1026" style="position:absolute;margin-left:-70.9pt;margin-top:23.65pt;width:142pt;height:17.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" fillcolor="#004194" stroked="f" strokeweight="2pt">
              <v:path arrowok="t"/>
            </v:rect>
          </w:pict>
        </mc:Fallback>
      </mc:AlternateContent>
    </w:r>
  </w:p>
  <w:p w:rsidR="00E26342" w:rsidRDefault="00040788">
    <w:pPr>
      <w:pStyle w:val="Header"/>
    </w:pPr>
    <w:r>
      <w:rPr>
        <w:noProof/>
        <w:lang w:eastAsia="en-GB"/>
      </w:rPr>
      <mc:AlternateContent>
        <mc:Choice Requires="wps">
          <w:drawing>
            <wp:anchor distT="0" distB="0" distL="114300" distR="114300" simplePos="0" relativeHeight="251643904" behindDoc="0" locked="0" layoutInCell="1" allowOverlap="1" wp14:anchorId="799EE8B2" wp14:editId="6051F28B">
              <wp:simplePos x="0" y="0"/>
              <wp:positionH relativeFrom="column">
                <wp:posOffset>-899795</wp:posOffset>
              </wp:positionH>
              <wp:positionV relativeFrom="paragraph">
                <wp:posOffset>43815</wp:posOffset>
              </wp:positionV>
              <wp:extent cx="7557135" cy="617220"/>
              <wp:effectExtent l="0" t="0" r="0" b="0"/>
              <wp:wrapNone/>
              <wp:docPr id="1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617220"/>
                      </a:xfrm>
                      <a:prstGeom prst="rect">
                        <a:avLst/>
                      </a:prstGeom>
                      <a:noFill/>
                      <a:ln w="9525">
                        <a:noFill/>
                        <a:miter lim="800000"/>
                        <a:headEnd/>
                        <a:tailEnd/>
                      </a:ln>
                    </wps:spPr>
                    <wps:txbx>
                      <w:txbxContent>
                        <w:p w:rsidR="00E26342" w:rsidRDefault="00040788">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2017 Annual Report</w:t>
                          </w:r>
                        </w:p>
                        <w:p w:rsidR="00E26342" w:rsidRDefault="00040788">
                          <w:pPr>
                            <w:spacing w:after="0"/>
                            <w:jc w:val="center"/>
                            <w:rPr>
                              <w:rFonts w:ascii="Arial" w:hAnsi="Arial" w:cs="Arial"/>
                              <w:b/>
                              <w:color w:val="A6A6A6"/>
                              <w:sz w:val="22"/>
                              <w:szCs w:val="22"/>
                            </w:rPr>
                          </w:pPr>
                          <w:r>
                            <w:rPr>
                              <w:rFonts w:ascii="Arial" w:hAnsi="Arial"/>
                              <w:color w:val="A6A6A6"/>
                              <w:sz w:val="22"/>
                            </w:rPr>
                            <w:t>Romania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70.85pt;margin-top:3.45pt;width:595.05pt;height:48.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" filled="f" stroked="f">
              <v:textbox>
                <w:txbxContent>
                  <w:p w:rsidR="00E26342" w:rsidRDefault="00040788">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2017 Annual Report</w:t>
                    </w:r>
                  </w:p>
                  <w:p w:rsidR="00E26342" w:rsidRDefault="00040788">
                    <w:pPr>
                      <w:spacing w:after="0"/>
                      <w:jc w:val="center"/>
                      <w:rPr>
                        <w:rFonts w:ascii="Arial" w:hAnsi="Arial" w:cs="Arial"/>
                        <w:b/>
                        <w:color w:val="A6A6A6"/>
                        <w:sz w:val="22"/>
                        <w:szCs w:val="22"/>
                      </w:rPr>
                    </w:pPr>
                    <w:r>
                      <w:rPr>
                        <w:rFonts w:ascii="Arial" w:hAnsi="Arial"/>
                        <w:color w:val="A6A6A6"/>
                        <w:sz w:val="22"/>
                      </w:rPr>
                      <w:t>Romania</w:t>
                    </w:r>
                  </w:p>
                </w:txbxContent>
              </v:textbox>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342" w:rsidRDefault="00040788">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642880" behindDoc="0" locked="0" layoutInCell="1" allowOverlap="1" wp14:anchorId="42D29E54" wp14:editId="2510E292">
              <wp:simplePos x="0" y="0"/>
              <wp:positionH relativeFrom="column">
                <wp:posOffset>-900430</wp:posOffset>
              </wp:positionH>
              <wp:positionV relativeFrom="paragraph">
                <wp:posOffset>630555</wp:posOffset>
              </wp:positionV>
              <wp:extent cx="7559675" cy="45720"/>
              <wp:effectExtent l="0" t="19050" r="0" b="11430"/>
              <wp:wrapNone/>
              <wp:docPr id="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rsidR="00E26342" w:rsidRDefault="00E26342">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6" type="#_x0000_t202" style="position:absolute;left:0;text-align:left;margin-left:-70.9pt;margin-top:49.65pt;width:595.25pt;height:3.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" filled="f" stroked="f">
              <v:textbox>
                <w:txbxContent>
                  <w:p w:rsidR="00E26342" w:rsidRDefault="00E26342">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639808" behindDoc="0" locked="0" layoutInCell="1" allowOverlap="1" wp14:anchorId="13D0BDA7" wp14:editId="4A087580">
              <wp:simplePos x="0" y="0"/>
              <wp:positionH relativeFrom="column">
                <wp:posOffset>-900430</wp:posOffset>
              </wp:positionH>
              <wp:positionV relativeFrom="paragraph">
                <wp:posOffset>222250</wp:posOffset>
              </wp:positionV>
              <wp:extent cx="7557135" cy="408940"/>
              <wp:effectExtent l="0" t="0" r="0" b="0"/>
              <wp:wrapNone/>
              <wp:docPr id="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rsidR="00E26342" w:rsidRDefault="00040788">
                          <w:pPr>
                            <w:tabs>
                              <w:tab w:val="left" w:pos="4111"/>
                            </w:tabs>
                            <w:spacing w:after="0"/>
                            <w:jc w:val="center"/>
                            <w:rPr>
                              <w:rFonts w:ascii="Arial" w:hAnsi="Arial" w:cs="Arial"/>
                              <w:color w:val="004194"/>
                              <w:sz w:val="20"/>
                            </w:rPr>
                          </w:pPr>
                          <w:r>
                            <w:rPr>
                              <w:rFonts w:ascii="Arial" w:hAnsi="Arial" w:cs="Arial"/>
                              <w:color w:val="004194"/>
                              <w:sz w:val="20"/>
                            </w:rPr>
                            <w:t xml:space="preserve">Monitoring the </w:t>
                          </w:r>
                          <w:r>
                            <w:rPr>
                              <w:rFonts w:ascii="Arial" w:hAnsi="Arial" w:cs="Arial"/>
                              <w:color w:val="004194"/>
                              <w:sz w:val="20"/>
                            </w:rPr>
                            <w:t>application of European Union law</w:t>
                          </w:r>
                          <w:r>
                            <w:rPr>
                              <w:rFonts w:ascii="Arial" w:hAnsi="Arial" w:cs="Arial"/>
                              <w:color w:val="004194"/>
                              <w:sz w:val="20"/>
                            </w:rPr>
                            <w:br/>
                            <w:t>2017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70.9pt;margin-top:17.5pt;width:595.05pt;height:32.2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" filled="f" stroked="f">
              <v:textbox>
                <w:txbxContent>
                  <w:p w:rsidR="00E26342" w:rsidRDefault="00040788">
                    <w:pPr>
                      <w:tabs>
                        <w:tab w:val="left" w:pos="4111"/>
                      </w:tabs>
                      <w:spacing w:after="0"/>
                      <w:jc w:val="center"/>
                      <w:rPr>
                        <w:rFonts w:ascii="Arial" w:hAnsi="Arial" w:cs="Arial"/>
                        <w:color w:val="004194"/>
                        <w:sz w:val="20"/>
                      </w:rPr>
                    </w:pPr>
                    <w:r>
                      <w:rPr>
                        <w:rFonts w:ascii="Arial" w:hAnsi="Arial" w:cs="Arial"/>
                        <w:color w:val="004194"/>
                        <w:sz w:val="20"/>
                      </w:rPr>
                      <w:t xml:space="preserve">Monitoring the </w:t>
                    </w:r>
                    <w:r>
                      <w:rPr>
                        <w:rFonts w:ascii="Arial" w:hAnsi="Arial" w:cs="Arial"/>
                        <w:color w:val="004194"/>
                        <w:sz w:val="20"/>
                      </w:rPr>
                      <w:t>application of European Union law</w:t>
                    </w:r>
                    <w:r>
                      <w:rPr>
                        <w:rFonts w:ascii="Arial" w:hAnsi="Arial" w:cs="Arial"/>
                        <w:color w:val="004194"/>
                        <w:sz w:val="20"/>
                      </w:rPr>
                      <w:br/>
                      <w:t>2017 Annual Report</w:t>
                    </w:r>
                  </w:p>
                </w:txbxContent>
              </v:textbox>
            </v:shape>
          </w:pict>
        </mc:Fallback>
      </mc:AlternateContent>
    </w:r>
    <w:r>
      <w:rPr>
        <w:noProof/>
        <w:lang w:eastAsia="en-GB"/>
      </w:rPr>
      <mc:AlternateContent>
        <mc:Choice Requires="wps">
          <w:drawing>
            <wp:anchor distT="0" distB="0" distL="114300" distR="114300" simplePos="0" relativeHeight="251641856" behindDoc="0" locked="0" layoutInCell="1" allowOverlap="1" wp14:anchorId="4190946E" wp14:editId="629B0D23">
              <wp:simplePos x="0" y="0"/>
              <wp:positionH relativeFrom="column">
                <wp:posOffset>4821555</wp:posOffset>
              </wp:positionH>
              <wp:positionV relativeFrom="paragraph">
                <wp:posOffset>300355</wp:posOffset>
              </wp:positionV>
              <wp:extent cx="1835150" cy="219075"/>
              <wp:effectExtent l="0" t="0" r="0" b="9525"/>
              <wp:wrapNone/>
              <wp:docPr id="145"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D8DEC33" id="Rectangle 145" o:spid="_x0000_s1026" style="position:absolute;margin-left:379.65pt;margin-top:23.65pt;width:144.5pt;height:17.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" fillcolor="#004194" stroked="f" strokeweight="2pt">
              <v:path arrowok="t"/>
            </v:rect>
          </w:pict>
        </mc:Fallback>
      </mc:AlternateContent>
    </w:r>
    <w:r>
      <w:rPr>
        <w:noProof/>
        <w:lang w:eastAsia="en-GB"/>
      </w:rPr>
      <mc:AlternateContent>
        <mc:Choice Requires="wps">
          <w:drawing>
            <wp:anchor distT="0" distB="0" distL="114300" distR="114300" simplePos="0" relativeHeight="251640832" behindDoc="0" locked="0" layoutInCell="1" allowOverlap="1" wp14:anchorId="7153D4FF" wp14:editId="381F404F">
              <wp:simplePos x="0" y="0"/>
              <wp:positionH relativeFrom="column">
                <wp:posOffset>-900430</wp:posOffset>
              </wp:positionH>
              <wp:positionV relativeFrom="paragraph">
                <wp:posOffset>300355</wp:posOffset>
              </wp:positionV>
              <wp:extent cx="1803400" cy="219075"/>
              <wp:effectExtent l="0" t="0" r="6350" b="9525"/>
              <wp:wrapNone/>
              <wp:docPr id="146"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B4C9341" id="Rectangle 146" o:spid="_x0000_s1026" style="position:absolute;margin-left:-70.9pt;margin-top:23.65pt;width:142pt;height:17.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" fillcolor="#004194" stroked="f" strokeweight="2pt">
              <v:path arrowok="t"/>
            </v:rect>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342" w:rsidRDefault="00E26342">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342" w:rsidRDefault="00040788">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686912" behindDoc="0" locked="0" layoutInCell="1" allowOverlap="1" wp14:anchorId="21F2F257" wp14:editId="0047ACB4">
              <wp:simplePos x="0" y="0"/>
              <wp:positionH relativeFrom="column">
                <wp:posOffset>-900430</wp:posOffset>
              </wp:positionH>
              <wp:positionV relativeFrom="paragraph">
                <wp:posOffset>630555</wp:posOffset>
              </wp:positionV>
              <wp:extent cx="7559675" cy="45720"/>
              <wp:effectExtent l="0" t="19050" r="0" b="11430"/>
              <wp:wrapNone/>
              <wp:docPr id="9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rsidR="00E26342" w:rsidRDefault="00E26342">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8" type="#_x0000_t202" style="position:absolute;left:0;text-align:left;margin-left:-70.9pt;margin-top:49.65pt;width:595.25pt;height:3.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" filled="f" stroked="f">
              <v:textbox>
                <w:txbxContent>
                  <w:p w:rsidR="00E26342" w:rsidRDefault="00E26342">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684864" behindDoc="0" locked="0" layoutInCell="1" allowOverlap="1" wp14:anchorId="58B9389A" wp14:editId="54BD432A">
              <wp:simplePos x="0" y="0"/>
              <wp:positionH relativeFrom="column">
                <wp:posOffset>4821555</wp:posOffset>
              </wp:positionH>
              <wp:positionV relativeFrom="paragraph">
                <wp:posOffset>300355</wp:posOffset>
              </wp:positionV>
              <wp:extent cx="1835150" cy="219075"/>
              <wp:effectExtent l="0" t="0" r="0" b="9525"/>
              <wp:wrapNone/>
              <wp:docPr id="980" name="Rectangle 9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815AE7A" id="Rectangle 980" o:spid="_x0000_s1026" style="position:absolute;margin-left:379.65pt;margin-top:23.65pt;width:144.5pt;height:17.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683840" behindDoc="0" locked="0" layoutInCell="1" allowOverlap="1" wp14:anchorId="7BC6749A" wp14:editId="077429B1">
              <wp:simplePos x="0" y="0"/>
              <wp:positionH relativeFrom="column">
                <wp:posOffset>-900430</wp:posOffset>
              </wp:positionH>
              <wp:positionV relativeFrom="paragraph">
                <wp:posOffset>300355</wp:posOffset>
              </wp:positionV>
              <wp:extent cx="1803400" cy="219075"/>
              <wp:effectExtent l="0" t="0" r="6350" b="9525"/>
              <wp:wrapNone/>
              <wp:docPr id="981" name="Rectangle 9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9065586" id="Rectangle 981" o:spid="_x0000_s1026" style="position:absolute;margin-left:-70.9pt;margin-top:23.65pt;width:142pt;height:17.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" fillcolor="#004194" stroked="f" strokeweight="2pt">
              <v:path arrowok="t"/>
            </v:rect>
          </w:pict>
        </mc:Fallback>
      </mc:AlternateContent>
    </w:r>
  </w:p>
  <w:p w:rsidR="00E26342" w:rsidRDefault="00040788">
    <w:pPr>
      <w:pStyle w:val="Header"/>
    </w:pPr>
    <w:r>
      <w:rPr>
        <w:noProof/>
        <w:lang w:eastAsia="en-GB"/>
      </w:rPr>
      <mc:AlternateContent>
        <mc:Choice Requires="wps">
          <w:drawing>
            <wp:anchor distT="0" distB="0" distL="114300" distR="114300" simplePos="0" relativeHeight="251681792" behindDoc="0" locked="0" layoutInCell="1" allowOverlap="1" wp14:anchorId="0E701471" wp14:editId="7CCCDBCF">
              <wp:simplePos x="0" y="0"/>
              <wp:positionH relativeFrom="column">
                <wp:posOffset>-899795</wp:posOffset>
              </wp:positionH>
              <wp:positionV relativeFrom="paragraph">
                <wp:posOffset>43815</wp:posOffset>
              </wp:positionV>
              <wp:extent cx="7557135" cy="594360"/>
              <wp:effectExtent l="0" t="0" r="0" b="0"/>
              <wp:wrapNone/>
              <wp:docPr id="9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594360"/>
                      </a:xfrm>
                      <a:prstGeom prst="rect">
                        <a:avLst/>
                      </a:prstGeom>
                      <a:noFill/>
                      <a:ln w="9525">
                        <a:noFill/>
                        <a:miter lim="800000"/>
                        <a:headEnd/>
                        <a:tailEnd/>
                      </a:ln>
                    </wps:spPr>
                    <wps:txbx>
                      <w:txbxContent>
                        <w:p w:rsidR="00E26342" w:rsidRDefault="00040788">
                          <w:pPr>
                            <w:spacing w:after="0"/>
                            <w:jc w:val="center"/>
                            <w:rPr>
                              <w:rFonts w:ascii="Arial" w:hAnsi="Arial" w:cs="Arial"/>
                              <w:color w:val="004194"/>
                              <w:sz w:val="20"/>
                            </w:rPr>
                          </w:pPr>
                          <w:r>
                            <w:rPr>
                              <w:rFonts w:ascii="Arial" w:hAnsi="Arial" w:cs="Arial"/>
                              <w:color w:val="004194"/>
                              <w:sz w:val="20"/>
                            </w:rPr>
                            <w:t xml:space="preserve">Monitoring the application of European Union </w:t>
                          </w:r>
                          <w:r>
                            <w:rPr>
                              <w:rFonts w:ascii="Arial" w:hAnsi="Arial" w:cs="Arial"/>
                              <w:color w:val="004194"/>
                              <w:sz w:val="20"/>
                            </w:rPr>
                            <w:t>law</w:t>
                          </w:r>
                          <w:r>
                            <w:rPr>
                              <w:rFonts w:ascii="Arial" w:hAnsi="Arial" w:cs="Arial"/>
                              <w:color w:val="004194"/>
                              <w:sz w:val="20"/>
                            </w:rPr>
                            <w:br/>
                            <w:t>2017 Annual Report</w:t>
                          </w:r>
                        </w:p>
                        <w:p w:rsidR="00E26342" w:rsidRDefault="00040788">
                          <w:pPr>
                            <w:spacing w:after="0"/>
                            <w:jc w:val="center"/>
                            <w:rPr>
                              <w:rFonts w:ascii="Arial" w:hAnsi="Arial" w:cs="Arial"/>
                              <w:b/>
                              <w:color w:val="A6A6A6"/>
                              <w:sz w:val="22"/>
                              <w:szCs w:val="22"/>
                            </w:rPr>
                          </w:pPr>
                          <w:r>
                            <w:rPr>
                              <w:rFonts w:ascii="Arial" w:hAnsi="Arial"/>
                              <w:color w:val="A6A6A6"/>
                              <w:sz w:val="22"/>
                            </w:rPr>
                            <w:t>Slovenia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70.85pt;margin-top:3.45pt;width:595.05pt;height:46.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" filled="f" stroked="f">
              <v:textbox>
                <w:txbxContent>
                  <w:p w:rsidR="00E26342" w:rsidRDefault="00040788">
                    <w:pPr>
                      <w:spacing w:after="0"/>
                      <w:jc w:val="center"/>
                      <w:rPr>
                        <w:rFonts w:ascii="Arial" w:hAnsi="Arial" w:cs="Arial"/>
                        <w:color w:val="004194"/>
                        <w:sz w:val="20"/>
                      </w:rPr>
                    </w:pPr>
                    <w:r>
                      <w:rPr>
                        <w:rFonts w:ascii="Arial" w:hAnsi="Arial" w:cs="Arial"/>
                        <w:color w:val="004194"/>
                        <w:sz w:val="20"/>
                      </w:rPr>
                      <w:t xml:space="preserve">Monitoring the application of European Union </w:t>
                    </w:r>
                    <w:r>
                      <w:rPr>
                        <w:rFonts w:ascii="Arial" w:hAnsi="Arial" w:cs="Arial"/>
                        <w:color w:val="004194"/>
                        <w:sz w:val="20"/>
                      </w:rPr>
                      <w:t>law</w:t>
                    </w:r>
                    <w:r>
                      <w:rPr>
                        <w:rFonts w:ascii="Arial" w:hAnsi="Arial" w:cs="Arial"/>
                        <w:color w:val="004194"/>
                        <w:sz w:val="20"/>
                      </w:rPr>
                      <w:br/>
                      <w:t>2017 Annual Report</w:t>
                    </w:r>
                  </w:p>
                  <w:p w:rsidR="00E26342" w:rsidRDefault="00040788">
                    <w:pPr>
                      <w:spacing w:after="0"/>
                      <w:jc w:val="center"/>
                      <w:rPr>
                        <w:rFonts w:ascii="Arial" w:hAnsi="Arial" w:cs="Arial"/>
                        <w:b/>
                        <w:color w:val="A6A6A6"/>
                        <w:sz w:val="22"/>
                        <w:szCs w:val="22"/>
                      </w:rPr>
                    </w:pPr>
                    <w:r>
                      <w:rPr>
                        <w:rFonts w:ascii="Arial" w:hAnsi="Arial"/>
                        <w:color w:val="A6A6A6"/>
                        <w:sz w:val="22"/>
                      </w:rPr>
                      <w:t>Slovenia</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788" w:rsidRPr="00040788" w:rsidRDefault="00040788" w:rsidP="00040788">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342" w:rsidRDefault="00040788">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680768" behindDoc="0" locked="0" layoutInCell="1" allowOverlap="1" wp14:anchorId="5A198D35" wp14:editId="214B1195">
              <wp:simplePos x="0" y="0"/>
              <wp:positionH relativeFrom="column">
                <wp:posOffset>-900430</wp:posOffset>
              </wp:positionH>
              <wp:positionV relativeFrom="paragraph">
                <wp:posOffset>630555</wp:posOffset>
              </wp:positionV>
              <wp:extent cx="7559675" cy="45720"/>
              <wp:effectExtent l="0" t="19050" r="0" b="11430"/>
              <wp:wrapNone/>
              <wp:docPr id="9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rsidR="00E26342" w:rsidRDefault="00E26342">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0" type="#_x0000_t202" style="position:absolute;left:0;text-align:left;margin-left:-70.9pt;margin-top:49.65pt;width:595.25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" filled="f" stroked="f">
              <v:textbox>
                <w:txbxContent>
                  <w:p w:rsidR="00E26342" w:rsidRDefault="00E26342">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675648" behindDoc="0" locked="0" layoutInCell="1" allowOverlap="1" wp14:anchorId="57EE471C" wp14:editId="6B2AF009">
              <wp:simplePos x="0" y="0"/>
              <wp:positionH relativeFrom="column">
                <wp:posOffset>-900430</wp:posOffset>
              </wp:positionH>
              <wp:positionV relativeFrom="paragraph">
                <wp:posOffset>222250</wp:posOffset>
              </wp:positionV>
              <wp:extent cx="7557135" cy="408940"/>
              <wp:effectExtent l="0" t="0" r="0" b="0"/>
              <wp:wrapNone/>
              <wp:docPr id="9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rsidR="00E26342" w:rsidRDefault="00040788">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2017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70.9pt;margin-top:17.5pt;width:595.05pt;height:32.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" filled="f" stroked="f">
              <v:textbox>
                <w:txbxContent>
                  <w:p w:rsidR="00E26342" w:rsidRDefault="00040788">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2017 Annual Report</w:t>
                    </w:r>
                  </w:p>
                </w:txbxContent>
              </v:textbox>
            </v:shape>
          </w:pict>
        </mc:Fallback>
      </mc:AlternateContent>
    </w:r>
    <w:r>
      <w:rPr>
        <w:noProof/>
        <w:lang w:eastAsia="en-GB"/>
      </w:rPr>
      <mc:AlternateContent>
        <mc:Choice Requires="wps">
          <w:drawing>
            <wp:anchor distT="0" distB="0" distL="114300" distR="114300" simplePos="0" relativeHeight="251678720" behindDoc="0" locked="0" layoutInCell="1" allowOverlap="1" wp14:anchorId="69477491" wp14:editId="754FBCB5">
              <wp:simplePos x="0" y="0"/>
              <wp:positionH relativeFrom="column">
                <wp:posOffset>4821555</wp:posOffset>
              </wp:positionH>
              <wp:positionV relativeFrom="paragraph">
                <wp:posOffset>300355</wp:posOffset>
              </wp:positionV>
              <wp:extent cx="1835150" cy="219075"/>
              <wp:effectExtent l="0" t="0" r="0" b="9525"/>
              <wp:wrapNone/>
              <wp:docPr id="984" name="Rectangle 9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5317133" id="Rectangle 984" o:spid="_x0000_s1026" style="position:absolute;margin-left:379.65pt;margin-top:23.65pt;width:144.5pt;height:1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" fillcolor="#004194" stroked="f" strokeweight="2pt">
              <v:path arrowok="t"/>
            </v:rect>
          </w:pict>
        </mc:Fallback>
      </mc:AlternateContent>
    </w:r>
    <w:r>
      <w:rPr>
        <w:noProof/>
        <w:lang w:eastAsia="en-GB"/>
      </w:rPr>
      <mc:AlternateContent>
        <mc:Choice Requires="wps">
          <w:drawing>
            <wp:anchor distT="0" distB="0" distL="114300" distR="114300" simplePos="0" relativeHeight="251677696" behindDoc="0" locked="0" layoutInCell="1" allowOverlap="1" wp14:anchorId="0F076A63" wp14:editId="2A890A65">
              <wp:simplePos x="0" y="0"/>
              <wp:positionH relativeFrom="column">
                <wp:posOffset>-900430</wp:posOffset>
              </wp:positionH>
              <wp:positionV relativeFrom="paragraph">
                <wp:posOffset>300355</wp:posOffset>
              </wp:positionV>
              <wp:extent cx="1803400" cy="219075"/>
              <wp:effectExtent l="0" t="0" r="6350" b="9525"/>
              <wp:wrapNone/>
              <wp:docPr id="985" name="Rectangle 9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0A4934A" id="Rectangle 985" o:spid="_x0000_s1026" style="position:absolute;margin-left:-70.9pt;margin-top:23.65pt;width:142pt;height:17.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" fillcolor="#004194" stroked="f" strokeweight="2pt">
              <v:path arrowok="t"/>
            </v:rect>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342" w:rsidRDefault="00E26342">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342" w:rsidRDefault="00040788">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655168" behindDoc="0" locked="0" layoutInCell="1" allowOverlap="1" wp14:anchorId="66608188" wp14:editId="1F562B21">
              <wp:simplePos x="0" y="0"/>
              <wp:positionH relativeFrom="column">
                <wp:posOffset>-900430</wp:posOffset>
              </wp:positionH>
              <wp:positionV relativeFrom="paragraph">
                <wp:posOffset>630555</wp:posOffset>
              </wp:positionV>
              <wp:extent cx="7559675" cy="45720"/>
              <wp:effectExtent l="0" t="19050" r="0" b="11430"/>
              <wp:wrapNone/>
              <wp:docPr id="1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rsidR="00E26342" w:rsidRDefault="00E26342">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2" type="#_x0000_t202" style="position:absolute;left:0;text-align:left;margin-left:-70.9pt;margin-top:49.65pt;width:595.25pt;height: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" filled="f" stroked="f">
              <v:textbox>
                <w:txbxContent>
                  <w:p w:rsidR="00E26342" w:rsidRDefault="00E26342">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654144" behindDoc="0" locked="0" layoutInCell="1" allowOverlap="1" wp14:anchorId="47C159F8" wp14:editId="5FA555C9">
              <wp:simplePos x="0" y="0"/>
              <wp:positionH relativeFrom="column">
                <wp:posOffset>4821555</wp:posOffset>
              </wp:positionH>
              <wp:positionV relativeFrom="paragraph">
                <wp:posOffset>300355</wp:posOffset>
              </wp:positionV>
              <wp:extent cx="1835150" cy="219075"/>
              <wp:effectExtent l="0" t="0" r="0" b="9525"/>
              <wp:wrapNone/>
              <wp:docPr id="177"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993CBF4" id="Rectangle 177" o:spid="_x0000_s1026" style="position:absolute;margin-left:379.65pt;margin-top:23.65pt;width:144.5pt;height:17.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653120" behindDoc="0" locked="0" layoutInCell="1" allowOverlap="1" wp14:anchorId="64D8DFED" wp14:editId="6F13741E">
              <wp:simplePos x="0" y="0"/>
              <wp:positionH relativeFrom="column">
                <wp:posOffset>-900430</wp:posOffset>
              </wp:positionH>
              <wp:positionV relativeFrom="paragraph">
                <wp:posOffset>300355</wp:posOffset>
              </wp:positionV>
              <wp:extent cx="1803400" cy="219075"/>
              <wp:effectExtent l="0" t="0" r="6350" b="9525"/>
              <wp:wrapNone/>
              <wp:docPr id="178"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AEE368A" id="Rectangle 178" o:spid="_x0000_s1026" style="position:absolute;margin-left:-70.9pt;margin-top:23.65pt;width:142pt;height:17.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" fillcolor="#004194" stroked="f" strokeweight="2pt">
              <v:path arrowok="t"/>
            </v:rect>
          </w:pict>
        </mc:Fallback>
      </mc:AlternateContent>
    </w:r>
  </w:p>
  <w:p w:rsidR="00E26342" w:rsidRDefault="00040788">
    <w:pPr>
      <w:pStyle w:val="Header"/>
    </w:pPr>
    <w:r>
      <w:rPr>
        <w:noProof/>
        <w:lang w:eastAsia="en-GB"/>
      </w:rPr>
      <mc:AlternateContent>
        <mc:Choice Requires="wps">
          <w:drawing>
            <wp:anchor distT="0" distB="0" distL="114300" distR="114300" simplePos="0" relativeHeight="251652096" behindDoc="0" locked="0" layoutInCell="1" allowOverlap="1" wp14:anchorId="585A87C0" wp14:editId="2416BD53">
              <wp:simplePos x="0" y="0"/>
              <wp:positionH relativeFrom="column">
                <wp:posOffset>-899795</wp:posOffset>
              </wp:positionH>
              <wp:positionV relativeFrom="paragraph">
                <wp:posOffset>43815</wp:posOffset>
              </wp:positionV>
              <wp:extent cx="7557135" cy="632460"/>
              <wp:effectExtent l="0" t="0" r="0" b="0"/>
              <wp:wrapNone/>
              <wp:docPr id="1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632460"/>
                      </a:xfrm>
                      <a:prstGeom prst="rect">
                        <a:avLst/>
                      </a:prstGeom>
                      <a:noFill/>
                      <a:ln w="9525">
                        <a:noFill/>
                        <a:miter lim="800000"/>
                        <a:headEnd/>
                        <a:tailEnd/>
                      </a:ln>
                    </wps:spPr>
                    <wps:txbx>
                      <w:txbxContent>
                        <w:p w:rsidR="00E26342" w:rsidRDefault="00040788">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 xml:space="preserve">2017 Annual </w:t>
                          </w:r>
                          <w:r>
                            <w:rPr>
                              <w:rFonts w:ascii="Arial" w:hAnsi="Arial" w:cs="Arial"/>
                              <w:color w:val="004194"/>
                              <w:sz w:val="20"/>
                            </w:rPr>
                            <w:t>Report</w:t>
                          </w:r>
                        </w:p>
                        <w:p w:rsidR="00E26342" w:rsidRDefault="00040788">
                          <w:pPr>
                            <w:spacing w:after="0"/>
                            <w:jc w:val="center"/>
                            <w:rPr>
                              <w:rFonts w:ascii="Arial" w:hAnsi="Arial" w:cs="Arial"/>
                              <w:b/>
                              <w:color w:val="A6A6A6"/>
                              <w:sz w:val="22"/>
                              <w:szCs w:val="22"/>
                            </w:rPr>
                          </w:pPr>
                          <w:r>
                            <w:rPr>
                              <w:rFonts w:ascii="Arial" w:hAnsi="Arial"/>
                              <w:color w:val="A6A6A6"/>
                              <w:sz w:val="22"/>
                            </w:rPr>
                            <w:t>Slovakia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70.85pt;margin-top:3.45pt;width:595.05pt;height:49.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" filled="f" stroked="f">
              <v:textbox>
                <w:txbxContent>
                  <w:p w:rsidR="00E26342" w:rsidRDefault="00040788">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 xml:space="preserve">2017 Annual </w:t>
                    </w:r>
                    <w:r>
                      <w:rPr>
                        <w:rFonts w:ascii="Arial" w:hAnsi="Arial" w:cs="Arial"/>
                        <w:color w:val="004194"/>
                        <w:sz w:val="20"/>
                      </w:rPr>
                      <w:t>Report</w:t>
                    </w:r>
                  </w:p>
                  <w:p w:rsidR="00E26342" w:rsidRDefault="00040788">
                    <w:pPr>
                      <w:spacing w:after="0"/>
                      <w:jc w:val="center"/>
                      <w:rPr>
                        <w:rFonts w:ascii="Arial" w:hAnsi="Arial" w:cs="Arial"/>
                        <w:b/>
                        <w:color w:val="A6A6A6"/>
                        <w:sz w:val="22"/>
                        <w:szCs w:val="22"/>
                      </w:rPr>
                    </w:pPr>
                    <w:r>
                      <w:rPr>
                        <w:rFonts w:ascii="Arial" w:hAnsi="Arial"/>
                        <w:color w:val="A6A6A6"/>
                        <w:sz w:val="22"/>
                      </w:rPr>
                      <w:t>Slovakia</w:t>
                    </w:r>
                  </w:p>
                </w:txbxContent>
              </v:textbox>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342" w:rsidRDefault="00040788">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651072" behindDoc="0" locked="0" layoutInCell="1" allowOverlap="1" wp14:anchorId="1769D433" wp14:editId="51FE6119">
              <wp:simplePos x="0" y="0"/>
              <wp:positionH relativeFrom="column">
                <wp:posOffset>-900430</wp:posOffset>
              </wp:positionH>
              <wp:positionV relativeFrom="paragraph">
                <wp:posOffset>630555</wp:posOffset>
              </wp:positionV>
              <wp:extent cx="7559675" cy="45720"/>
              <wp:effectExtent l="0" t="19050" r="0" b="11430"/>
              <wp:wrapNone/>
              <wp:docPr id="1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rsidR="00E26342" w:rsidRDefault="00E26342">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4" type="#_x0000_t202" style="position:absolute;left:0;text-align:left;margin-left:-70.9pt;margin-top:49.65pt;width:595.25pt;height:3.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" filled="f" stroked="f">
              <v:textbox>
                <w:txbxContent>
                  <w:p w:rsidR="00E26342" w:rsidRDefault="00E26342">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648000" behindDoc="0" locked="0" layoutInCell="1" allowOverlap="1" wp14:anchorId="26DFDB3E" wp14:editId="74EAA739">
              <wp:simplePos x="0" y="0"/>
              <wp:positionH relativeFrom="column">
                <wp:posOffset>-900430</wp:posOffset>
              </wp:positionH>
              <wp:positionV relativeFrom="paragraph">
                <wp:posOffset>222250</wp:posOffset>
              </wp:positionV>
              <wp:extent cx="7557135" cy="408940"/>
              <wp:effectExtent l="0" t="0" r="0" b="0"/>
              <wp:wrapNone/>
              <wp:docPr id="1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rsidR="00E26342" w:rsidRDefault="00040788">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2017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70.9pt;margin-top:17.5pt;width:595.05pt;height:32.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" filled="f" stroked="f">
              <v:textbox>
                <w:txbxContent>
                  <w:p w:rsidR="00E26342" w:rsidRDefault="00040788">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2017 Annual Report</w:t>
                    </w:r>
                  </w:p>
                </w:txbxContent>
              </v:textbox>
            </v:shape>
          </w:pict>
        </mc:Fallback>
      </mc:AlternateContent>
    </w:r>
    <w:r>
      <w:rPr>
        <w:noProof/>
        <w:lang w:eastAsia="en-GB"/>
      </w:rPr>
      <mc:AlternateContent>
        <mc:Choice Requires="wps">
          <w:drawing>
            <wp:anchor distT="0" distB="0" distL="114300" distR="114300" simplePos="0" relativeHeight="251650048" behindDoc="0" locked="0" layoutInCell="1" allowOverlap="1" wp14:anchorId="691E1D68" wp14:editId="435B079B">
              <wp:simplePos x="0" y="0"/>
              <wp:positionH relativeFrom="column">
                <wp:posOffset>4821555</wp:posOffset>
              </wp:positionH>
              <wp:positionV relativeFrom="paragraph">
                <wp:posOffset>300355</wp:posOffset>
              </wp:positionV>
              <wp:extent cx="1835150" cy="219075"/>
              <wp:effectExtent l="0" t="0" r="0" b="9525"/>
              <wp:wrapNone/>
              <wp:docPr id="181"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79045B0" id="Rectangle 181" o:spid="_x0000_s1026" style="position:absolute;margin-left:379.65pt;margin-top:23.65pt;width:144.5pt;height:17.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649024" behindDoc="0" locked="0" layoutInCell="1" allowOverlap="1" wp14:anchorId="163FA392" wp14:editId="2272DED9">
              <wp:simplePos x="0" y="0"/>
              <wp:positionH relativeFrom="column">
                <wp:posOffset>-900430</wp:posOffset>
              </wp:positionH>
              <wp:positionV relativeFrom="paragraph">
                <wp:posOffset>300355</wp:posOffset>
              </wp:positionV>
              <wp:extent cx="1803400" cy="219075"/>
              <wp:effectExtent l="0" t="0" r="6350" b="9525"/>
              <wp:wrapNone/>
              <wp:docPr id="18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8B50E16" id="Rectangle 182" o:spid="_x0000_s1026" style="position:absolute;margin-left:-70.9pt;margin-top:23.65pt;width:142pt;height:17.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" fillcolor="#004194" stroked="f" strokeweight="2pt">
              <v:path arrowok="t"/>
            </v:rect>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342" w:rsidRDefault="00E26342">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342" w:rsidRDefault="00040788">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674624" behindDoc="0" locked="0" layoutInCell="1" allowOverlap="1" wp14:anchorId="2BDBF743" wp14:editId="30A9834F">
              <wp:simplePos x="0" y="0"/>
              <wp:positionH relativeFrom="column">
                <wp:posOffset>-900430</wp:posOffset>
              </wp:positionH>
              <wp:positionV relativeFrom="paragraph">
                <wp:posOffset>630555</wp:posOffset>
              </wp:positionV>
              <wp:extent cx="7559675" cy="45720"/>
              <wp:effectExtent l="0" t="19050" r="0" b="11430"/>
              <wp:wrapNone/>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rsidR="00E26342" w:rsidRDefault="00E26342">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6" type="#_x0000_t202" style="position:absolute;left:0;text-align:left;margin-left:-70.9pt;margin-top:49.65pt;width:595.25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" filled="f" stroked="f">
              <v:textbox>
                <w:txbxContent>
                  <w:p w:rsidR="00E26342" w:rsidRDefault="00E26342">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672576" behindDoc="0" locked="0" layoutInCell="1" allowOverlap="1" wp14:anchorId="721F297D" wp14:editId="30879EAA">
              <wp:simplePos x="0" y="0"/>
              <wp:positionH relativeFrom="column">
                <wp:posOffset>4821555</wp:posOffset>
              </wp:positionH>
              <wp:positionV relativeFrom="paragraph">
                <wp:posOffset>300355</wp:posOffset>
              </wp:positionV>
              <wp:extent cx="1835150" cy="219075"/>
              <wp:effectExtent l="0" t="0" r="0" b="9525"/>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FA78EFF" id="Rectangle 71" o:spid="_x0000_s1026" style="position:absolute;margin-left:379.65pt;margin-top:23.65pt;width:144.5pt;height:17.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" fillcolor="#004194" stroked="f" strokeweight="2pt">
              <v:path arrowok="t"/>
            </v:rect>
          </w:pict>
        </mc:Fallback>
      </mc:AlternateContent>
    </w:r>
    <w:r>
      <w:rPr>
        <w:noProof/>
        <w:lang w:eastAsia="en-GB"/>
      </w:rPr>
      <mc:AlternateContent>
        <mc:Choice Requires="wps">
          <w:drawing>
            <wp:anchor distT="0" distB="0" distL="114300" distR="114300" simplePos="0" relativeHeight="251671552" behindDoc="0" locked="0" layoutInCell="1" allowOverlap="1" wp14:anchorId="5DDEBC25" wp14:editId="44E4AFDB">
              <wp:simplePos x="0" y="0"/>
              <wp:positionH relativeFrom="column">
                <wp:posOffset>-900430</wp:posOffset>
              </wp:positionH>
              <wp:positionV relativeFrom="paragraph">
                <wp:posOffset>300355</wp:posOffset>
              </wp:positionV>
              <wp:extent cx="1803400" cy="219075"/>
              <wp:effectExtent l="0" t="0" r="6350" b="9525"/>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82A541B" id="Rectangle 72" o:spid="_x0000_s1026" style="position:absolute;margin-left:-70.9pt;margin-top:23.65pt;width:142pt;height:1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" fillcolor="#004194" stroked="f" strokeweight="2pt">
              <v:path arrowok="t"/>
            </v:rect>
          </w:pict>
        </mc:Fallback>
      </mc:AlternateContent>
    </w:r>
  </w:p>
  <w:p w:rsidR="00E26342" w:rsidRDefault="00040788">
    <w:pPr>
      <w:pStyle w:val="Header"/>
    </w:pPr>
    <w:r>
      <w:rPr>
        <w:noProof/>
        <w:lang w:eastAsia="en-GB"/>
      </w:rPr>
      <mc:AlternateContent>
        <mc:Choice Requires="wps">
          <w:drawing>
            <wp:anchor distT="0" distB="0" distL="114300" distR="114300" simplePos="0" relativeHeight="251669504" behindDoc="0" locked="0" layoutInCell="1" allowOverlap="1" wp14:anchorId="143B4B4A" wp14:editId="41C40A7C">
              <wp:simplePos x="0" y="0"/>
              <wp:positionH relativeFrom="column">
                <wp:posOffset>-899795</wp:posOffset>
              </wp:positionH>
              <wp:positionV relativeFrom="paragraph">
                <wp:posOffset>43815</wp:posOffset>
              </wp:positionV>
              <wp:extent cx="7557135" cy="579120"/>
              <wp:effectExtent l="0" t="0" r="0" b="0"/>
              <wp:wrapNone/>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579120"/>
                      </a:xfrm>
                      <a:prstGeom prst="rect">
                        <a:avLst/>
                      </a:prstGeom>
                      <a:noFill/>
                      <a:ln w="9525">
                        <a:noFill/>
                        <a:miter lim="800000"/>
                        <a:headEnd/>
                        <a:tailEnd/>
                      </a:ln>
                    </wps:spPr>
                    <wps:txbx>
                      <w:txbxContent>
                        <w:p w:rsidR="00E26342" w:rsidRDefault="00040788">
                          <w:pPr>
                            <w:spacing w:after="0"/>
                            <w:jc w:val="center"/>
                            <w:rPr>
                              <w:rFonts w:ascii="Arial" w:hAnsi="Arial" w:cs="Arial"/>
                              <w:color w:val="004194"/>
                              <w:sz w:val="20"/>
                            </w:rPr>
                          </w:pPr>
                          <w:r>
                            <w:rPr>
                              <w:rFonts w:ascii="Arial" w:hAnsi="Arial" w:cs="Arial"/>
                              <w:color w:val="004194"/>
                              <w:sz w:val="20"/>
                            </w:rPr>
                            <w:t>Monitoring the application of European Union law</w:t>
                          </w:r>
                        </w:p>
                        <w:p w:rsidR="00E26342" w:rsidRDefault="00040788">
                          <w:pPr>
                            <w:spacing w:after="0"/>
                            <w:jc w:val="center"/>
                            <w:rPr>
                              <w:rFonts w:ascii="Arial" w:hAnsi="Arial" w:cs="Arial"/>
                              <w:color w:val="004194"/>
                              <w:sz w:val="20"/>
                            </w:rPr>
                          </w:pPr>
                          <w:r>
                            <w:rPr>
                              <w:rFonts w:ascii="Arial" w:hAnsi="Arial" w:cs="Arial"/>
                              <w:color w:val="004194"/>
                              <w:sz w:val="20"/>
                            </w:rPr>
                            <w:t>20</w:t>
                          </w:r>
                          <w:r>
                            <w:rPr>
                              <w:rFonts w:ascii="Arial" w:hAnsi="Arial" w:cs="Arial"/>
                              <w:color w:val="004194"/>
                              <w:sz w:val="20"/>
                            </w:rPr>
                            <w:t>17 Annual Report</w:t>
                          </w:r>
                        </w:p>
                        <w:p w:rsidR="00E26342" w:rsidRDefault="00040788">
                          <w:pPr>
                            <w:spacing w:after="0"/>
                            <w:jc w:val="center"/>
                            <w:rPr>
                              <w:rFonts w:ascii="Arial" w:hAnsi="Arial" w:cs="Arial"/>
                              <w:b/>
                              <w:color w:val="A6A6A6"/>
                              <w:sz w:val="22"/>
                              <w:szCs w:val="22"/>
                            </w:rPr>
                          </w:pPr>
                          <w:r>
                            <w:rPr>
                              <w:rFonts w:ascii="Arial" w:hAnsi="Arial"/>
                              <w:color w:val="A6A6A6"/>
                              <w:sz w:val="22"/>
                            </w:rPr>
                            <w:t>Finland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70.85pt;margin-top:3.45pt;width:595.05pt;height:45.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" filled="f" stroked="f">
              <v:textbox>
                <w:txbxContent>
                  <w:p w:rsidR="00E26342" w:rsidRDefault="00040788">
                    <w:pPr>
                      <w:spacing w:after="0"/>
                      <w:jc w:val="center"/>
                      <w:rPr>
                        <w:rFonts w:ascii="Arial" w:hAnsi="Arial" w:cs="Arial"/>
                        <w:color w:val="004194"/>
                        <w:sz w:val="20"/>
                      </w:rPr>
                    </w:pPr>
                    <w:r>
                      <w:rPr>
                        <w:rFonts w:ascii="Arial" w:hAnsi="Arial" w:cs="Arial"/>
                        <w:color w:val="004194"/>
                        <w:sz w:val="20"/>
                      </w:rPr>
                      <w:t>Monitoring the application of European Union law</w:t>
                    </w:r>
                  </w:p>
                  <w:p w:rsidR="00E26342" w:rsidRDefault="00040788">
                    <w:pPr>
                      <w:spacing w:after="0"/>
                      <w:jc w:val="center"/>
                      <w:rPr>
                        <w:rFonts w:ascii="Arial" w:hAnsi="Arial" w:cs="Arial"/>
                        <w:color w:val="004194"/>
                        <w:sz w:val="20"/>
                      </w:rPr>
                    </w:pPr>
                    <w:r>
                      <w:rPr>
                        <w:rFonts w:ascii="Arial" w:hAnsi="Arial" w:cs="Arial"/>
                        <w:color w:val="004194"/>
                        <w:sz w:val="20"/>
                      </w:rPr>
                      <w:t>20</w:t>
                    </w:r>
                    <w:r>
                      <w:rPr>
                        <w:rFonts w:ascii="Arial" w:hAnsi="Arial" w:cs="Arial"/>
                        <w:color w:val="004194"/>
                        <w:sz w:val="20"/>
                      </w:rPr>
                      <w:t>17 Annual Report</w:t>
                    </w:r>
                  </w:p>
                  <w:p w:rsidR="00E26342" w:rsidRDefault="00040788">
                    <w:pPr>
                      <w:spacing w:after="0"/>
                      <w:jc w:val="center"/>
                      <w:rPr>
                        <w:rFonts w:ascii="Arial" w:hAnsi="Arial" w:cs="Arial"/>
                        <w:b/>
                        <w:color w:val="A6A6A6"/>
                        <w:sz w:val="22"/>
                        <w:szCs w:val="22"/>
                      </w:rPr>
                    </w:pPr>
                    <w:r>
                      <w:rPr>
                        <w:rFonts w:ascii="Arial" w:hAnsi="Arial"/>
                        <w:color w:val="A6A6A6"/>
                        <w:sz w:val="22"/>
                      </w:rPr>
                      <w:t>Finland</w:t>
                    </w:r>
                  </w:p>
                </w:txbxContent>
              </v:textbox>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342" w:rsidRDefault="00040788">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668480" behindDoc="0" locked="0" layoutInCell="1" allowOverlap="1" wp14:anchorId="18D2FE28" wp14:editId="716D0677">
              <wp:simplePos x="0" y="0"/>
              <wp:positionH relativeFrom="column">
                <wp:posOffset>-900430</wp:posOffset>
              </wp:positionH>
              <wp:positionV relativeFrom="paragraph">
                <wp:posOffset>630555</wp:posOffset>
              </wp:positionV>
              <wp:extent cx="7559675" cy="45720"/>
              <wp:effectExtent l="0" t="19050" r="0" b="11430"/>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rsidR="00E26342" w:rsidRDefault="00E26342">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8" type="#_x0000_t202" style="position:absolute;left:0;text-align:left;margin-left:-70.9pt;margin-top:49.65pt;width:595.25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" filled="f" stroked="f">
              <v:textbox>
                <w:txbxContent>
                  <w:p w:rsidR="00E26342" w:rsidRDefault="00E26342">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664384" behindDoc="0" locked="0" layoutInCell="1" allowOverlap="1" wp14:anchorId="7E9DFD6F" wp14:editId="0E10956C">
              <wp:simplePos x="0" y="0"/>
              <wp:positionH relativeFrom="column">
                <wp:posOffset>-900430</wp:posOffset>
              </wp:positionH>
              <wp:positionV relativeFrom="paragraph">
                <wp:posOffset>222250</wp:posOffset>
              </wp:positionV>
              <wp:extent cx="7557135" cy="408940"/>
              <wp:effectExtent l="0" t="0" r="0" b="0"/>
              <wp:wrapNone/>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rsidR="00E26342" w:rsidRDefault="00040788">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rsidR="00E26342" w:rsidRDefault="00040788">
                          <w:pPr>
                            <w:tabs>
                              <w:tab w:val="left" w:pos="4111"/>
                            </w:tabs>
                            <w:spacing w:after="0"/>
                            <w:jc w:val="center"/>
                            <w:rPr>
                              <w:rFonts w:ascii="Arial" w:hAnsi="Arial" w:cs="Arial"/>
                              <w:color w:val="004194"/>
                              <w:sz w:val="20"/>
                            </w:rPr>
                          </w:pPr>
                          <w:r>
                            <w:rPr>
                              <w:rFonts w:ascii="Arial" w:hAnsi="Arial" w:cs="Arial"/>
                              <w:color w:val="004194"/>
                              <w:sz w:val="20"/>
                            </w:rPr>
                            <w:t>2017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70.9pt;margin-top:17.5pt;width:595.05pt;height:3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" filled="f" stroked="f">
              <v:textbox>
                <w:txbxContent>
                  <w:p w:rsidR="00E26342" w:rsidRDefault="00040788">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rsidR="00E26342" w:rsidRDefault="00040788">
                    <w:pPr>
                      <w:tabs>
                        <w:tab w:val="left" w:pos="4111"/>
                      </w:tabs>
                      <w:spacing w:after="0"/>
                      <w:jc w:val="center"/>
                      <w:rPr>
                        <w:rFonts w:ascii="Arial" w:hAnsi="Arial" w:cs="Arial"/>
                        <w:color w:val="004194"/>
                        <w:sz w:val="20"/>
                      </w:rPr>
                    </w:pPr>
                    <w:r>
                      <w:rPr>
                        <w:rFonts w:ascii="Arial" w:hAnsi="Arial" w:cs="Arial"/>
                        <w:color w:val="004194"/>
                        <w:sz w:val="20"/>
                      </w:rPr>
                      <w:t>2017 Annual Report</w:t>
                    </w:r>
                  </w:p>
                </w:txbxContent>
              </v:textbox>
            </v:shape>
          </w:pict>
        </mc:Fallback>
      </mc:AlternateContent>
    </w:r>
    <w:r>
      <w:rPr>
        <w:noProof/>
        <w:lang w:eastAsia="en-GB"/>
      </w:rPr>
      <mc:AlternateContent>
        <mc:Choice Requires="wps">
          <w:drawing>
            <wp:anchor distT="0" distB="0" distL="114300" distR="114300" simplePos="0" relativeHeight="251666432" behindDoc="0" locked="0" layoutInCell="1" allowOverlap="1" wp14:anchorId="2D40FAB8" wp14:editId="30DF3E4F">
              <wp:simplePos x="0" y="0"/>
              <wp:positionH relativeFrom="column">
                <wp:posOffset>4821555</wp:posOffset>
              </wp:positionH>
              <wp:positionV relativeFrom="paragraph">
                <wp:posOffset>300355</wp:posOffset>
              </wp:positionV>
              <wp:extent cx="1835150" cy="219075"/>
              <wp:effectExtent l="0" t="0" r="0" b="9525"/>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2A332AA" id="Rectangle 75" o:spid="_x0000_s1026" style="position:absolute;margin-left:379.65pt;margin-top:23.65pt;width:144.5pt;height:1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665408" behindDoc="0" locked="0" layoutInCell="1" allowOverlap="1" wp14:anchorId="7F6631E4" wp14:editId="0E94E5D4">
              <wp:simplePos x="0" y="0"/>
              <wp:positionH relativeFrom="column">
                <wp:posOffset>-900430</wp:posOffset>
              </wp:positionH>
              <wp:positionV relativeFrom="paragraph">
                <wp:posOffset>300355</wp:posOffset>
              </wp:positionV>
              <wp:extent cx="1803400" cy="219075"/>
              <wp:effectExtent l="0" t="0" r="6350" b="9525"/>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885505E" id="Rectangle 76" o:spid="_x0000_s1026" style="position:absolute;margin-left:-70.9pt;margin-top:23.65pt;width:142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" fillcolor="#004194" stroked="f" strokeweight="2pt">
              <v:path arrowok="t"/>
            </v:rect>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342" w:rsidRDefault="00E26342">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342" w:rsidRDefault="00040788">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663360" behindDoc="0" locked="0" layoutInCell="1" allowOverlap="1" wp14:anchorId="01419C02" wp14:editId="4D0AAFB9">
              <wp:simplePos x="0" y="0"/>
              <wp:positionH relativeFrom="column">
                <wp:posOffset>-900430</wp:posOffset>
              </wp:positionH>
              <wp:positionV relativeFrom="paragraph">
                <wp:posOffset>630555</wp:posOffset>
              </wp:positionV>
              <wp:extent cx="7559675" cy="45720"/>
              <wp:effectExtent l="0" t="19050" r="0" b="11430"/>
              <wp:wrapNone/>
              <wp:docPr id="10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rsidR="00E26342" w:rsidRDefault="00E26342">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0" type="#_x0000_t202" style="position:absolute;left:0;text-align:left;margin-left:-70.9pt;margin-top:49.65pt;width:595.25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" filled="f" stroked="f">
              <v:textbox>
                <w:txbxContent>
                  <w:p w:rsidR="00E26342" w:rsidRDefault="00E26342">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14:anchorId="2E04327D" wp14:editId="7211A206">
              <wp:simplePos x="0" y="0"/>
              <wp:positionH relativeFrom="column">
                <wp:posOffset>4821555</wp:posOffset>
              </wp:positionH>
              <wp:positionV relativeFrom="paragraph">
                <wp:posOffset>300355</wp:posOffset>
              </wp:positionV>
              <wp:extent cx="1835150" cy="219075"/>
              <wp:effectExtent l="0" t="0" r="0" b="9525"/>
              <wp:wrapNone/>
              <wp:docPr id="1052" name="Rectangle 10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023416E" id="Rectangle 1052" o:spid="_x0000_s1026" style="position:absolute;margin-left:379.65pt;margin-top:23.65pt;width:144.5pt;height:1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" fillcolor="#004194" stroked="f" strokeweight="2pt">
              <v:path arrowok="t"/>
            </v:rect>
          </w:pict>
        </mc:Fallback>
      </mc:AlternateContent>
    </w:r>
    <w:r>
      <w:rPr>
        <w:noProof/>
        <w:lang w:eastAsia="en-GB"/>
      </w:rPr>
      <mc:AlternateContent>
        <mc:Choice Requires="wps">
          <w:drawing>
            <wp:anchor distT="0" distB="0" distL="114300" distR="114300" simplePos="0" relativeHeight="251661312" behindDoc="0" locked="0" layoutInCell="1" allowOverlap="1" wp14:anchorId="2981BE5C" wp14:editId="7170A4C3">
              <wp:simplePos x="0" y="0"/>
              <wp:positionH relativeFrom="column">
                <wp:posOffset>-900430</wp:posOffset>
              </wp:positionH>
              <wp:positionV relativeFrom="paragraph">
                <wp:posOffset>300355</wp:posOffset>
              </wp:positionV>
              <wp:extent cx="1803400" cy="219075"/>
              <wp:effectExtent l="0" t="0" r="6350" b="9525"/>
              <wp:wrapNone/>
              <wp:docPr id="1053" name="Rectangle 10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031FC95" id="Rectangle 1053" o:spid="_x0000_s1026" style="position:absolute;margin-left:-70.9pt;margin-top:23.65pt;width:142pt;height:1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" fillcolor="#004194" stroked="f" strokeweight="2pt">
              <v:path arrowok="t"/>
            </v:rect>
          </w:pict>
        </mc:Fallback>
      </mc:AlternateContent>
    </w:r>
  </w:p>
  <w:p w:rsidR="00E26342" w:rsidRDefault="00040788">
    <w:pPr>
      <w:pStyle w:val="Header"/>
    </w:pPr>
    <w:r>
      <w:rPr>
        <w:noProof/>
        <w:lang w:eastAsia="en-GB"/>
      </w:rPr>
      <mc:AlternateContent>
        <mc:Choice Requires="wps">
          <w:drawing>
            <wp:anchor distT="0" distB="0" distL="114300" distR="114300" simplePos="0" relativeHeight="251660288" behindDoc="0" locked="0" layoutInCell="1" allowOverlap="1" wp14:anchorId="096DC8C6" wp14:editId="53BC180A">
              <wp:simplePos x="0" y="0"/>
              <wp:positionH relativeFrom="column">
                <wp:posOffset>-899795</wp:posOffset>
              </wp:positionH>
              <wp:positionV relativeFrom="paragraph">
                <wp:posOffset>43815</wp:posOffset>
              </wp:positionV>
              <wp:extent cx="7557135" cy="594360"/>
              <wp:effectExtent l="0" t="0" r="0" b="0"/>
              <wp:wrapNone/>
              <wp:docPr id="10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594360"/>
                      </a:xfrm>
                      <a:prstGeom prst="rect">
                        <a:avLst/>
                      </a:prstGeom>
                      <a:noFill/>
                      <a:ln w="9525">
                        <a:noFill/>
                        <a:miter lim="800000"/>
                        <a:headEnd/>
                        <a:tailEnd/>
                      </a:ln>
                    </wps:spPr>
                    <wps:txbx>
                      <w:txbxContent>
                        <w:p w:rsidR="00E26342" w:rsidRDefault="00040788">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2017 Annual Report</w:t>
                          </w:r>
                        </w:p>
                        <w:p w:rsidR="00E26342" w:rsidRDefault="00040788">
                          <w:pPr>
                            <w:spacing w:after="0"/>
                            <w:jc w:val="center"/>
                            <w:rPr>
                              <w:rFonts w:ascii="Arial" w:hAnsi="Arial" w:cs="Arial"/>
                              <w:b/>
                              <w:color w:val="A6A6A6"/>
                              <w:sz w:val="22"/>
                              <w:szCs w:val="22"/>
                            </w:rPr>
                          </w:pPr>
                          <w:r>
                            <w:rPr>
                              <w:rFonts w:ascii="Arial" w:hAnsi="Arial"/>
                              <w:color w:val="A6A6A6"/>
                              <w:sz w:val="22"/>
                            </w:rPr>
                            <w:t>Sweden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70.85pt;margin-top:3.45pt;width:595.05pt;height:46.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" filled="f" stroked="f">
              <v:textbox>
                <w:txbxContent>
                  <w:p w:rsidR="00E26342" w:rsidRDefault="00040788">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2017 Annual Report</w:t>
                    </w:r>
                  </w:p>
                  <w:p w:rsidR="00E26342" w:rsidRDefault="00040788">
                    <w:pPr>
                      <w:spacing w:after="0"/>
                      <w:jc w:val="center"/>
                      <w:rPr>
                        <w:rFonts w:ascii="Arial" w:hAnsi="Arial" w:cs="Arial"/>
                        <w:b/>
                        <w:color w:val="A6A6A6"/>
                        <w:sz w:val="22"/>
                        <w:szCs w:val="22"/>
                      </w:rPr>
                    </w:pPr>
                    <w:r>
                      <w:rPr>
                        <w:rFonts w:ascii="Arial" w:hAnsi="Arial"/>
                        <w:color w:val="A6A6A6"/>
                        <w:sz w:val="22"/>
                      </w:rPr>
                      <w:t>Sweden</w:t>
                    </w:r>
                  </w:p>
                </w:txbxContent>
              </v:textbox>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342" w:rsidRDefault="00040788">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659264" behindDoc="0" locked="0" layoutInCell="1" allowOverlap="1" wp14:anchorId="71F315BD" wp14:editId="1595F943">
              <wp:simplePos x="0" y="0"/>
              <wp:positionH relativeFrom="column">
                <wp:posOffset>-900430</wp:posOffset>
              </wp:positionH>
              <wp:positionV relativeFrom="paragraph">
                <wp:posOffset>630555</wp:posOffset>
              </wp:positionV>
              <wp:extent cx="7559675" cy="45720"/>
              <wp:effectExtent l="0" t="19050" r="0" b="11430"/>
              <wp:wrapNone/>
              <wp:docPr id="10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rsidR="00E26342" w:rsidRDefault="00E26342">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2" type="#_x0000_t202" style="position:absolute;left:0;text-align:left;margin-left:-70.9pt;margin-top:49.65pt;width:595.2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" filled="f" stroked="f">
              <v:textbox>
                <w:txbxContent>
                  <w:p w:rsidR="00E26342" w:rsidRDefault="00E26342">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656192" behindDoc="0" locked="0" layoutInCell="1" allowOverlap="1" wp14:anchorId="35882DB9" wp14:editId="444ED664">
              <wp:simplePos x="0" y="0"/>
              <wp:positionH relativeFrom="column">
                <wp:posOffset>-900430</wp:posOffset>
              </wp:positionH>
              <wp:positionV relativeFrom="paragraph">
                <wp:posOffset>222250</wp:posOffset>
              </wp:positionV>
              <wp:extent cx="7557135" cy="408940"/>
              <wp:effectExtent l="0" t="0" r="0" b="0"/>
              <wp:wrapNone/>
              <wp:docPr id="10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rsidR="00E26342" w:rsidRDefault="00040788">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2017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70.9pt;margin-top:17.5pt;width:595.05pt;height:32.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" filled="f" stroked="f">
              <v:textbox>
                <w:txbxContent>
                  <w:p w:rsidR="00E26342" w:rsidRDefault="00040788">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2017 Annual Report</w:t>
                    </w:r>
                  </w:p>
                </w:txbxContent>
              </v:textbox>
            </v:shape>
          </w:pict>
        </mc:Fallback>
      </mc:AlternateContent>
    </w:r>
    <w:r>
      <w:rPr>
        <w:noProof/>
        <w:lang w:eastAsia="en-GB"/>
      </w:rPr>
      <mc:AlternateContent>
        <mc:Choice Requires="wps">
          <w:drawing>
            <wp:anchor distT="0" distB="0" distL="114300" distR="114300" simplePos="0" relativeHeight="251658240" behindDoc="0" locked="0" layoutInCell="1" allowOverlap="1" wp14:anchorId="1F839F69" wp14:editId="178733E6">
              <wp:simplePos x="0" y="0"/>
              <wp:positionH relativeFrom="column">
                <wp:posOffset>4821555</wp:posOffset>
              </wp:positionH>
              <wp:positionV relativeFrom="paragraph">
                <wp:posOffset>300355</wp:posOffset>
              </wp:positionV>
              <wp:extent cx="1835150" cy="219075"/>
              <wp:effectExtent l="0" t="0" r="0" b="9525"/>
              <wp:wrapNone/>
              <wp:docPr id="1056" name="Rectangle 1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EF001BA" id="Rectangle 1056" o:spid="_x0000_s1026" style="position:absolute;margin-left:379.65pt;margin-top:23.65pt;width:144.5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" fillcolor="#004194" stroked="f" strokeweight="2pt">
              <v:path arrowok="t"/>
            </v:rect>
          </w:pict>
        </mc:Fallback>
      </mc:AlternateContent>
    </w:r>
    <w:r>
      <w:rPr>
        <w:noProof/>
        <w:lang w:eastAsia="en-GB"/>
      </w:rPr>
      <mc:AlternateContent>
        <mc:Choice Requires="wps">
          <w:drawing>
            <wp:anchor distT="0" distB="0" distL="114300" distR="114300" simplePos="0" relativeHeight="251657216" behindDoc="0" locked="0" layoutInCell="1" allowOverlap="1" wp14:anchorId="38DEAD3C" wp14:editId="51A8B6DB">
              <wp:simplePos x="0" y="0"/>
              <wp:positionH relativeFrom="column">
                <wp:posOffset>-900430</wp:posOffset>
              </wp:positionH>
              <wp:positionV relativeFrom="paragraph">
                <wp:posOffset>300355</wp:posOffset>
              </wp:positionV>
              <wp:extent cx="1803400" cy="219075"/>
              <wp:effectExtent l="0" t="0" r="6350" b="9525"/>
              <wp:wrapNone/>
              <wp:docPr id="1057" name="Rectangle 10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7060AAE" id="Rectangle 1057" o:spid="_x0000_s1026" style="position:absolute;margin-left:-70.9pt;margin-top:23.65pt;width:142pt;height:17.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" fillcolor="#004194" stroked="f" strokeweight="2pt">
              <v:path arrowok="t"/>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342" w:rsidRDefault="00E26342">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342" w:rsidRDefault="00E26342">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342" w:rsidRDefault="00040788">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713536" behindDoc="0" locked="0" layoutInCell="1" allowOverlap="1" wp14:anchorId="507BC427" wp14:editId="3720E8C8">
              <wp:simplePos x="0" y="0"/>
              <wp:positionH relativeFrom="column">
                <wp:posOffset>4821555</wp:posOffset>
              </wp:positionH>
              <wp:positionV relativeFrom="paragraph">
                <wp:posOffset>300355</wp:posOffset>
              </wp:positionV>
              <wp:extent cx="1835150" cy="219075"/>
              <wp:effectExtent l="0" t="0" r="0" b="9525"/>
              <wp:wrapNone/>
              <wp:docPr id="10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9B59B0F" id="Rectangle 109" o:spid="_x0000_s1026" style="position:absolute;margin-left:379.65pt;margin-top:23.65pt;width:144.5pt;height:17.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712512" behindDoc="0" locked="0" layoutInCell="1" allowOverlap="1" wp14:anchorId="048F079E" wp14:editId="7E23EC65">
              <wp:simplePos x="0" y="0"/>
              <wp:positionH relativeFrom="column">
                <wp:posOffset>-900430</wp:posOffset>
              </wp:positionH>
              <wp:positionV relativeFrom="paragraph">
                <wp:posOffset>300355</wp:posOffset>
              </wp:positionV>
              <wp:extent cx="1803400" cy="219075"/>
              <wp:effectExtent l="0" t="0" r="6350" b="9525"/>
              <wp:wrapNone/>
              <wp:docPr id="11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1094843" id="Rectangle 110" o:spid="_x0000_s1026" style="position:absolute;margin-left:-70.9pt;margin-top:23.65pt;width:142pt;height:17.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" fillcolor="#004194" stroked="f" strokeweight="2pt">
              <v:path arrowok="t"/>
            </v:rect>
          </w:pict>
        </mc:Fallback>
      </mc:AlternateContent>
    </w:r>
  </w:p>
  <w:p w:rsidR="00E26342" w:rsidRDefault="00040788">
    <w:pPr>
      <w:pStyle w:val="Header"/>
    </w:pPr>
    <w:r>
      <w:rPr>
        <w:noProof/>
        <w:lang w:eastAsia="en-GB"/>
      </w:rPr>
      <mc:AlternateContent>
        <mc:Choice Requires="wps">
          <w:drawing>
            <wp:anchor distT="0" distB="0" distL="114300" distR="114300" simplePos="0" relativeHeight="251714560" behindDoc="0" locked="0" layoutInCell="1" allowOverlap="1" wp14:anchorId="4330E124" wp14:editId="453A050F">
              <wp:simplePos x="0" y="0"/>
              <wp:positionH relativeFrom="column">
                <wp:posOffset>-900430</wp:posOffset>
              </wp:positionH>
              <wp:positionV relativeFrom="paragraph">
                <wp:posOffset>462915</wp:posOffset>
              </wp:positionV>
              <wp:extent cx="7559675" cy="45085"/>
              <wp:effectExtent l="0" t="19050" r="0" b="12065"/>
              <wp:wrapNone/>
              <wp:docPr id="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085"/>
                      </a:xfrm>
                      <a:prstGeom prst="rect">
                        <a:avLst/>
                      </a:prstGeom>
                      <a:noFill/>
                      <a:ln w="9525">
                        <a:noFill/>
                        <a:miter lim="800000"/>
                        <a:headEnd/>
                        <a:tailEnd/>
                      </a:ln>
                    </wps:spPr>
                    <wps:txbx>
                      <w:txbxContent>
                        <w:p w:rsidR="00E26342" w:rsidRDefault="00E26342">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4" type="#_x0000_t202" style="position:absolute;left:0;text-align:left;margin-left:-70.9pt;margin-top:36.45pt;width:595.25pt;height:3.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" filled="f" stroked="f">
              <v:textbox>
                <w:txbxContent>
                  <w:p w:rsidR="00E26342" w:rsidRDefault="00E26342">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711488" behindDoc="0" locked="0" layoutInCell="1" allowOverlap="1" wp14:anchorId="5DE0E844" wp14:editId="183B4E0D">
              <wp:simplePos x="0" y="0"/>
              <wp:positionH relativeFrom="column">
                <wp:posOffset>-900430</wp:posOffset>
              </wp:positionH>
              <wp:positionV relativeFrom="paragraph">
                <wp:posOffset>43815</wp:posOffset>
              </wp:positionV>
              <wp:extent cx="7557135" cy="60198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601980"/>
                      </a:xfrm>
                      <a:prstGeom prst="rect">
                        <a:avLst/>
                      </a:prstGeom>
                      <a:noFill/>
                      <a:ln w="9525">
                        <a:noFill/>
                        <a:miter lim="800000"/>
                        <a:headEnd/>
                        <a:tailEnd/>
                      </a:ln>
                    </wps:spPr>
                    <wps:txbx>
                      <w:txbxContent>
                        <w:p w:rsidR="00E26342" w:rsidRDefault="00040788">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2017 Annual Report</w:t>
                          </w:r>
                        </w:p>
                        <w:p w:rsidR="00E26342" w:rsidRDefault="00040788">
                          <w:pPr>
                            <w:spacing w:after="0"/>
                            <w:jc w:val="center"/>
                            <w:rPr>
                              <w:rFonts w:ascii="Arial" w:hAnsi="Arial" w:cs="Arial"/>
                              <w:b/>
                              <w:color w:val="A6A6A6"/>
                              <w:sz w:val="22"/>
                              <w:szCs w:val="22"/>
                            </w:rPr>
                          </w:pPr>
                          <w:r>
                            <w:rPr>
                              <w:rFonts w:ascii="Arial" w:hAnsi="Arial"/>
                              <w:color w:val="A6A6A6"/>
                              <w:sz w:val="22"/>
                            </w:rPr>
                            <w:t>United Kingdom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70.9pt;margin-top:3.45pt;width:595.05pt;height:47.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" filled="f" stroked="f">
              <v:textbox>
                <w:txbxContent>
                  <w:p w:rsidR="00E26342" w:rsidRDefault="00040788">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2017 Annual Report</w:t>
                    </w:r>
                  </w:p>
                  <w:p w:rsidR="00E26342" w:rsidRDefault="00040788">
                    <w:pPr>
                      <w:spacing w:after="0"/>
                      <w:jc w:val="center"/>
                      <w:rPr>
                        <w:rFonts w:ascii="Arial" w:hAnsi="Arial" w:cs="Arial"/>
                        <w:b/>
                        <w:color w:val="A6A6A6"/>
                        <w:sz w:val="22"/>
                        <w:szCs w:val="22"/>
                      </w:rPr>
                    </w:pPr>
                    <w:r>
                      <w:rPr>
                        <w:rFonts w:ascii="Arial" w:hAnsi="Arial"/>
                        <w:color w:val="A6A6A6"/>
                        <w:sz w:val="22"/>
                      </w:rPr>
                      <w:t>United Kingdom</w:t>
                    </w:r>
                  </w:p>
                </w:txbxContent>
              </v:textbox>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342" w:rsidRDefault="00040788">
    <w:pPr>
      <w:tabs>
        <w:tab w:val="center" w:pos="4153"/>
        <w:tab w:val="left" w:pos="7513"/>
        <w:tab w:val="right" w:pos="8306"/>
      </w:tabs>
      <w:spacing w:after="0"/>
      <w:ind w:left="4153" w:hanging="4153"/>
      <w:jc w:val="center"/>
      <w:rPr>
        <w:rFonts w:ascii="Arial" w:hAnsi="Arial" w:cs="Arial"/>
        <w:sz w:val="22"/>
        <w:szCs w:val="22"/>
      </w:rPr>
    </w:pPr>
    <w:r>
      <w:rPr>
        <w:noProof/>
        <w:lang w:eastAsia="en-GB"/>
      </w:rPr>
      <mc:AlternateContent>
        <mc:Choice Requires="wps">
          <w:drawing>
            <wp:anchor distT="0" distB="0" distL="114300" distR="114300" simplePos="0" relativeHeight="251710464" behindDoc="0" locked="0" layoutInCell="1" allowOverlap="1" wp14:anchorId="362DF7EE" wp14:editId="1C8D2993">
              <wp:simplePos x="0" y="0"/>
              <wp:positionH relativeFrom="column">
                <wp:posOffset>-900430</wp:posOffset>
              </wp:positionH>
              <wp:positionV relativeFrom="paragraph">
                <wp:posOffset>630555</wp:posOffset>
              </wp:positionV>
              <wp:extent cx="7559675" cy="45720"/>
              <wp:effectExtent l="0" t="19050" r="0" b="11430"/>
              <wp:wrapNone/>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rsidR="00E26342" w:rsidRDefault="00E26342">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6" type="#_x0000_t202" style="position:absolute;left:0;text-align:left;margin-left:-70.9pt;margin-top:49.65pt;width:595.25pt;height:3.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" filled="f" stroked="f">
              <v:textbox>
                <w:txbxContent>
                  <w:p w:rsidR="00E26342" w:rsidRDefault="00E26342">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707392" behindDoc="0" locked="0" layoutInCell="1" allowOverlap="1" wp14:anchorId="6E80A425" wp14:editId="5826250A">
              <wp:simplePos x="0" y="0"/>
              <wp:positionH relativeFrom="column">
                <wp:posOffset>-900430</wp:posOffset>
              </wp:positionH>
              <wp:positionV relativeFrom="paragraph">
                <wp:posOffset>222250</wp:posOffset>
              </wp:positionV>
              <wp:extent cx="7557135" cy="408940"/>
              <wp:effectExtent l="0" t="0" r="0" b="0"/>
              <wp:wrapNone/>
              <wp:docPr id="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rsidR="00E26342" w:rsidRDefault="00040788">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2017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left:0;text-align:left;margin-left:-70.9pt;margin-top:17.5pt;width:595.05pt;height:32.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" filled="f" stroked="f">
              <v:textbox>
                <w:txbxContent>
                  <w:p w:rsidR="00E26342" w:rsidRDefault="00040788">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2017 Annual Report</w:t>
                    </w:r>
                  </w:p>
                </w:txbxContent>
              </v:textbox>
            </v:shape>
          </w:pict>
        </mc:Fallback>
      </mc:AlternateContent>
    </w:r>
    <w:r>
      <w:rPr>
        <w:noProof/>
        <w:lang w:eastAsia="en-GB"/>
      </w:rPr>
      <mc:AlternateContent>
        <mc:Choice Requires="wps">
          <w:drawing>
            <wp:anchor distT="0" distB="0" distL="114300" distR="114300" simplePos="0" relativeHeight="251709440" behindDoc="0" locked="0" layoutInCell="1" allowOverlap="1" wp14:anchorId="4A67C560" wp14:editId="0A0BDE6D">
              <wp:simplePos x="0" y="0"/>
              <wp:positionH relativeFrom="column">
                <wp:posOffset>4821555</wp:posOffset>
              </wp:positionH>
              <wp:positionV relativeFrom="paragraph">
                <wp:posOffset>300355</wp:posOffset>
              </wp:positionV>
              <wp:extent cx="1835150" cy="219075"/>
              <wp:effectExtent l="0" t="0" r="0" b="9525"/>
              <wp:wrapNone/>
              <wp:docPr id="105"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997D7D5" id="Rectangle 105" o:spid="_x0000_s1026" style="position:absolute;margin-left:379.65pt;margin-top:23.65pt;width:144.5pt;height:17.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" fillcolor="#004194" stroked="f" strokeweight="2pt">
              <v:path arrowok="t"/>
            </v:rect>
          </w:pict>
        </mc:Fallback>
      </mc:AlternateContent>
    </w:r>
    <w:r>
      <w:rPr>
        <w:noProof/>
        <w:lang w:eastAsia="en-GB"/>
      </w:rPr>
      <mc:AlternateContent>
        <mc:Choice Requires="wps">
          <w:drawing>
            <wp:anchor distT="0" distB="0" distL="114300" distR="114300" simplePos="0" relativeHeight="251708416" behindDoc="0" locked="0" layoutInCell="1" allowOverlap="1" wp14:anchorId="0460BA51" wp14:editId="0DD86A2E">
              <wp:simplePos x="0" y="0"/>
              <wp:positionH relativeFrom="column">
                <wp:posOffset>-900430</wp:posOffset>
              </wp:positionH>
              <wp:positionV relativeFrom="paragraph">
                <wp:posOffset>300355</wp:posOffset>
              </wp:positionV>
              <wp:extent cx="1803400" cy="219075"/>
              <wp:effectExtent l="0" t="0" r="6350" b="9525"/>
              <wp:wrapNone/>
              <wp:docPr id="10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971DA50" id="Rectangle 106" o:spid="_x0000_s1026" style="position:absolute;margin-left:-70.9pt;margin-top:23.65pt;width:142pt;height:17.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" fillcolor="#004194" stroked="f" strokeweight="2pt">
              <v:path arrowok="t"/>
            </v:rect>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342" w:rsidRDefault="00E26342">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342" w:rsidRDefault="00040788">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602944"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FEEB851" id="Rectangle 63" o:spid="_x0000_s1026" style="position:absolute;margin-left:379.65pt;margin-top:23.65pt;width:144.5pt;height:17.2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601920"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9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F07A28D" id="Rectangle 95" o:spid="_x0000_s1026" style="position:absolute;margin-left:-70.9pt;margin-top:23.65pt;width:142pt;height:17.2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" fillcolor="#004194" stroked="f" strokeweight="2pt">
              <v:path arrowok="t"/>
            </v:rect>
          </w:pict>
        </mc:Fallback>
      </mc:AlternateContent>
    </w:r>
  </w:p>
  <w:p w:rsidR="00E26342" w:rsidRDefault="00040788">
    <w:pPr>
      <w:pStyle w:val="Header"/>
    </w:pPr>
    <w:r>
      <w:rPr>
        <w:noProof/>
        <w:lang w:eastAsia="en-GB"/>
      </w:rPr>
      <mc:AlternateContent>
        <mc:Choice Requires="wps">
          <w:drawing>
            <wp:anchor distT="0" distB="0" distL="114300" distR="114300" simplePos="0" relativeHeight="251600896" behindDoc="0" locked="0" layoutInCell="1" allowOverlap="1">
              <wp:simplePos x="0" y="0"/>
              <wp:positionH relativeFrom="column">
                <wp:posOffset>-899795</wp:posOffset>
              </wp:positionH>
              <wp:positionV relativeFrom="paragraph">
                <wp:posOffset>45720</wp:posOffset>
              </wp:positionV>
              <wp:extent cx="7557770" cy="702945"/>
              <wp:effectExtent l="0" t="0" r="0" b="1905"/>
              <wp:wrapNone/>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770" cy="702945"/>
                      </a:xfrm>
                      <a:prstGeom prst="rect">
                        <a:avLst/>
                      </a:prstGeom>
                      <a:noFill/>
                      <a:ln w="9525">
                        <a:noFill/>
                        <a:miter lim="800000"/>
                        <a:headEnd/>
                        <a:tailEnd/>
                      </a:ln>
                    </wps:spPr>
                    <wps:txbx>
                      <w:txbxContent>
                        <w:p w:rsidR="00E26342" w:rsidRDefault="00040788">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2017 Annual Report</w:t>
                          </w:r>
                        </w:p>
                        <w:p w:rsidR="00E26342" w:rsidRDefault="00040788">
                          <w:pPr>
                            <w:spacing w:after="0"/>
                            <w:jc w:val="center"/>
                            <w:rPr>
                              <w:rFonts w:ascii="Arial" w:hAnsi="Arial" w:cs="Arial"/>
                              <w:color w:val="A6A6A6"/>
                              <w:sz w:val="20"/>
                            </w:rPr>
                          </w:pPr>
                          <w:r>
                            <w:rPr>
                              <w:rFonts w:ascii="Arial" w:hAnsi="Arial" w:cs="Arial"/>
                              <w:color w:val="A6A6A6"/>
                              <w:sz w:val="20"/>
                            </w:rPr>
                            <w:t>Methodology a</w:t>
                          </w:r>
                          <w:r>
                            <w:rPr>
                              <w:rFonts w:ascii="Arial" w:hAnsi="Arial" w:cs="Arial"/>
                              <w:color w:val="A6A6A6"/>
                              <w:sz w:val="20"/>
                            </w:rPr>
                            <w:t>nd explanations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8" type="#_x0000_t202" style="position:absolute;left:0;text-align:left;margin-left:-70.85pt;margin-top:3.6pt;width:595.1pt;height:55.3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" filled="f" stroked="f">
              <v:textbox>
                <w:txbxContent>
                  <w:p w:rsidR="00E26342" w:rsidRDefault="00040788">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2017 Annual Report</w:t>
                    </w:r>
                  </w:p>
                  <w:p w:rsidR="00E26342" w:rsidRDefault="00040788">
                    <w:pPr>
                      <w:spacing w:after="0"/>
                      <w:jc w:val="center"/>
                      <w:rPr>
                        <w:rFonts w:ascii="Arial" w:hAnsi="Arial" w:cs="Arial"/>
                        <w:color w:val="A6A6A6"/>
                        <w:sz w:val="20"/>
                      </w:rPr>
                    </w:pPr>
                    <w:r>
                      <w:rPr>
                        <w:rFonts w:ascii="Arial" w:hAnsi="Arial" w:cs="Arial"/>
                        <w:color w:val="A6A6A6"/>
                        <w:sz w:val="20"/>
                      </w:rPr>
                      <w:t>Methodology a</w:t>
                    </w:r>
                    <w:r>
                      <w:rPr>
                        <w:rFonts w:ascii="Arial" w:hAnsi="Arial" w:cs="Arial"/>
                        <w:color w:val="A6A6A6"/>
                        <w:sz w:val="20"/>
                      </w:rPr>
                      <w:t>nd explanations</w:t>
                    </w:r>
                  </w:p>
                </w:txbxContent>
              </v:textbox>
            </v:shape>
          </w:pict>
        </mc:Fallback>
      </mc:AlternateContent>
    </w:r>
    <w:r>
      <w:rPr>
        <w:noProof/>
        <w:lang w:eastAsia="en-GB"/>
      </w:rPr>
      <mc:AlternateContent>
        <mc:Choice Requires="wps">
          <w:drawing>
            <wp:anchor distT="0" distB="0" distL="114300" distR="114300" simplePos="0" relativeHeight="251603968" behindDoc="0" locked="0" layoutInCell="1" allowOverlap="1">
              <wp:simplePos x="0" y="0"/>
              <wp:positionH relativeFrom="column">
                <wp:posOffset>-861695</wp:posOffset>
              </wp:positionH>
              <wp:positionV relativeFrom="paragraph">
                <wp:posOffset>579120</wp:posOffset>
              </wp:positionV>
              <wp:extent cx="7559675" cy="45720"/>
              <wp:effectExtent l="0" t="19050" r="0" b="1143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7559675" cy="45720"/>
                      </a:xfrm>
                      <a:prstGeom prst="rect">
                        <a:avLst/>
                      </a:prstGeom>
                      <a:noFill/>
                      <a:ln w="9525">
                        <a:noFill/>
                        <a:miter lim="800000"/>
                        <a:headEnd/>
                        <a:tailEnd/>
                      </a:ln>
                    </wps:spPr>
                    <wps:txbx>
                      <w:txbxContent>
                        <w:p w:rsidR="00E26342" w:rsidRDefault="00E26342">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left:0;text-align:left;margin-left:-67.85pt;margin-top:45.6pt;width:595.25pt;height:3.6pt;flip:y;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" filled="f" stroked="f">
              <v:textbox>
                <w:txbxContent>
                  <w:p w:rsidR="00E26342" w:rsidRDefault="00E26342">
                    <w:pPr>
                      <w:pStyle w:val="Priorities"/>
                      <w:ind w:right="555"/>
                      <w:jc w:val="both"/>
                      <w:rPr>
                        <w:color w:val="808080"/>
                        <w:lang w:val="de-DE"/>
                      </w:rPr>
                    </w:pPr>
                  </w:p>
                </w:txbxContent>
              </v:textbox>
            </v:shap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342" w:rsidRDefault="00040788">
    <w:pPr>
      <w:tabs>
        <w:tab w:val="center" w:pos="4153"/>
        <w:tab w:val="left" w:pos="7513"/>
        <w:tab w:val="right" w:pos="8306"/>
      </w:tabs>
      <w:spacing w:after="0"/>
      <w:ind w:left="4153" w:hanging="4153"/>
      <w:jc w:val="center"/>
      <w:rPr>
        <w:rFonts w:ascii="Arial" w:hAnsi="Arial" w:cs="Arial"/>
        <w:sz w:val="22"/>
        <w:szCs w:val="22"/>
      </w:rPr>
    </w:pPr>
    <w:r>
      <w:rPr>
        <w:noProof/>
        <w:lang w:eastAsia="en-GB"/>
      </w:rPr>
      <mc:AlternateContent>
        <mc:Choice Requires="wps">
          <w:drawing>
            <wp:anchor distT="0" distB="0" distL="114300" distR="114300" simplePos="0" relativeHeight="251706368"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rsidR="00E26342" w:rsidRDefault="00E26342">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80" type="#_x0000_t202" style="position:absolute;left:0;text-align:left;margin-left:-70.9pt;margin-top:49.65pt;width:595.25pt;height:3.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" filled="f" stroked="f">
              <v:textbox>
                <w:txbxContent>
                  <w:p w:rsidR="00E26342" w:rsidRDefault="00E26342">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604992" behindDoc="0" locked="0" layoutInCell="1" allowOverlap="1">
              <wp:simplePos x="0" y="0"/>
              <wp:positionH relativeFrom="column">
                <wp:posOffset>-900430</wp:posOffset>
              </wp:positionH>
              <wp:positionV relativeFrom="paragraph">
                <wp:posOffset>222250</wp:posOffset>
              </wp:positionV>
              <wp:extent cx="7557135" cy="408940"/>
              <wp:effectExtent l="0" t="0" r="0" b="0"/>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rsidR="00E26342" w:rsidRDefault="00040788">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2016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left:0;text-align:left;margin-left:-70.9pt;margin-top:17.5pt;width:595.05pt;height:32.2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" filled="f" stroked="f">
              <v:textbox>
                <w:txbxContent>
                  <w:p w:rsidR="00E26342" w:rsidRDefault="00040788">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2016 Annual Report</w:t>
                    </w:r>
                  </w:p>
                </w:txbxContent>
              </v:textbox>
            </v:shape>
          </w:pict>
        </mc:Fallback>
      </mc:AlternateContent>
    </w:r>
    <w:r>
      <w:rPr>
        <w:noProof/>
        <w:lang w:eastAsia="en-GB"/>
      </w:rPr>
      <mc:AlternateContent>
        <mc:Choice Requires="wps">
          <w:drawing>
            <wp:anchor distT="0" distB="0" distL="114300" distR="114300" simplePos="0" relativeHeight="251705344"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201"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9C28894" id="Rectangle 201" o:spid="_x0000_s1026" style="position:absolute;margin-left:379.65pt;margin-top:23.65pt;width:144.5pt;height:17.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" fillcolor="#004194" stroked="f" strokeweight="2pt">
              <v:path arrowok="t"/>
            </v:rect>
          </w:pict>
        </mc:Fallback>
      </mc:AlternateContent>
    </w:r>
    <w:r>
      <w:rPr>
        <w:noProof/>
        <w:lang w:eastAsia="en-GB"/>
      </w:rPr>
      <mc:AlternateContent>
        <mc:Choice Requires="wps">
          <w:drawing>
            <wp:anchor distT="0" distB="0" distL="114300" distR="114300" simplePos="0" relativeHeight="251606016"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204"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704DE89" id="Rectangle 204" o:spid="_x0000_s1026" style="position:absolute;margin-left:-70.9pt;margin-top:23.65pt;width:142pt;height:17.2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" fillcolor="#004194" stroked="f" strokeweight="2pt">
              <v:path arrowok="t"/>
            </v:rec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342" w:rsidRDefault="00040788">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719680" behindDoc="0" locked="0" layoutInCell="1" allowOverlap="1" wp14:anchorId="59C10F4E" wp14:editId="5E751227">
              <wp:simplePos x="0" y="0"/>
              <wp:positionH relativeFrom="column">
                <wp:posOffset>-900430</wp:posOffset>
              </wp:positionH>
              <wp:positionV relativeFrom="paragraph">
                <wp:posOffset>630555</wp:posOffset>
              </wp:positionV>
              <wp:extent cx="7559675" cy="45720"/>
              <wp:effectExtent l="0" t="19050" r="0" b="1143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rsidR="00E26342" w:rsidRDefault="00E26342">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0.9pt;margin-top:49.65pt;width:595.25pt;height:3.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" filled="f" stroked="f">
              <v:textbox>
                <w:txbxContent>
                  <w:p w:rsidR="00E26342" w:rsidRDefault="00E26342">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718656" behindDoc="0" locked="0" layoutInCell="1" allowOverlap="1" wp14:anchorId="4C4654CF" wp14:editId="41305F97">
              <wp:simplePos x="0" y="0"/>
              <wp:positionH relativeFrom="column">
                <wp:posOffset>4821555</wp:posOffset>
              </wp:positionH>
              <wp:positionV relativeFrom="paragraph">
                <wp:posOffset>300355</wp:posOffset>
              </wp:positionV>
              <wp:extent cx="1835150" cy="219075"/>
              <wp:effectExtent l="0" t="0" r="0" b="952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DFD6EBD" id="Rectangle 2" o:spid="_x0000_s1026" style="position:absolute;margin-left:379.65pt;margin-top:23.65pt;width:144.5pt;height:17.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" fillcolor="#004194" stroked="f" strokeweight="2pt">
              <v:path arrowok="t"/>
            </v:rect>
          </w:pict>
        </mc:Fallback>
      </mc:AlternateContent>
    </w:r>
    <w:r>
      <w:rPr>
        <w:noProof/>
        <w:lang w:eastAsia="en-GB"/>
      </w:rPr>
      <mc:AlternateContent>
        <mc:Choice Requires="wps">
          <w:drawing>
            <wp:anchor distT="0" distB="0" distL="114300" distR="114300" simplePos="0" relativeHeight="251717632" behindDoc="0" locked="0" layoutInCell="1" allowOverlap="1" wp14:anchorId="77D00E40" wp14:editId="03BFAAC2">
              <wp:simplePos x="0" y="0"/>
              <wp:positionH relativeFrom="column">
                <wp:posOffset>-900430</wp:posOffset>
              </wp:positionH>
              <wp:positionV relativeFrom="paragraph">
                <wp:posOffset>300355</wp:posOffset>
              </wp:positionV>
              <wp:extent cx="1803400" cy="219075"/>
              <wp:effectExtent l="0" t="0" r="6350" b="952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A8AA837" id="Rectangle 3" o:spid="_x0000_s1026" style="position:absolute;margin-left:-70.9pt;margin-top:23.65pt;width:142pt;height:17.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" fillcolor="#004194" stroked="f" strokeweight="2pt">
              <v:path arrowok="t"/>
            </v:rect>
          </w:pict>
        </mc:Fallback>
      </mc:AlternateContent>
    </w:r>
  </w:p>
  <w:p w:rsidR="00E26342" w:rsidRDefault="00040788">
    <w:pPr>
      <w:pStyle w:val="Header"/>
    </w:pPr>
    <w:r>
      <w:rPr>
        <w:noProof/>
        <w:lang w:eastAsia="en-GB"/>
      </w:rPr>
      <mc:AlternateContent>
        <mc:Choice Requires="wps">
          <w:drawing>
            <wp:anchor distT="0" distB="0" distL="114300" distR="114300" simplePos="0" relativeHeight="251716608" behindDoc="0" locked="0" layoutInCell="1" allowOverlap="1" wp14:anchorId="6B06918A" wp14:editId="760A5CC1">
              <wp:simplePos x="0" y="0"/>
              <wp:positionH relativeFrom="column">
                <wp:posOffset>-899795</wp:posOffset>
              </wp:positionH>
              <wp:positionV relativeFrom="paragraph">
                <wp:posOffset>43815</wp:posOffset>
              </wp:positionV>
              <wp:extent cx="7557135" cy="586740"/>
              <wp:effectExtent l="0" t="0" r="0" b="381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586740"/>
                      </a:xfrm>
                      <a:prstGeom prst="rect">
                        <a:avLst/>
                      </a:prstGeom>
                      <a:noFill/>
                      <a:ln w="9525">
                        <a:noFill/>
                        <a:miter lim="800000"/>
                        <a:headEnd/>
                        <a:tailEnd/>
                      </a:ln>
                    </wps:spPr>
                    <wps:txbx>
                      <w:txbxContent>
                        <w:p w:rsidR="00E26342" w:rsidRDefault="00040788">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2017 Annual Report</w:t>
                          </w:r>
                        </w:p>
                        <w:p w:rsidR="00E26342" w:rsidRDefault="00040788">
                          <w:pPr>
                            <w:spacing w:after="0"/>
                            <w:jc w:val="center"/>
                            <w:rPr>
                              <w:rFonts w:ascii="Arial" w:hAnsi="Arial" w:cs="Arial"/>
                              <w:b/>
                              <w:color w:val="A6A6A6"/>
                              <w:sz w:val="22"/>
                              <w:szCs w:val="22"/>
                            </w:rPr>
                          </w:pPr>
                          <w:r>
                            <w:rPr>
                              <w:rFonts w:ascii="Arial" w:hAnsi="Arial"/>
                              <w:color w:val="A6A6A6"/>
                              <w:sz w:val="22"/>
                            </w:rPr>
                            <w:t>Luxembourg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70.85pt;margin-top:3.45pt;width:595.05pt;height:46.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" filled="f" stroked="f">
              <v:textbox>
                <w:txbxContent>
                  <w:p w:rsidR="00E26342" w:rsidRDefault="00040788">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2017 Annual Report</w:t>
                    </w:r>
                  </w:p>
                  <w:p w:rsidR="00E26342" w:rsidRDefault="00040788">
                    <w:pPr>
                      <w:spacing w:after="0"/>
                      <w:jc w:val="center"/>
                      <w:rPr>
                        <w:rFonts w:ascii="Arial" w:hAnsi="Arial" w:cs="Arial"/>
                        <w:b/>
                        <w:color w:val="A6A6A6"/>
                        <w:sz w:val="22"/>
                        <w:szCs w:val="22"/>
                      </w:rPr>
                    </w:pPr>
                    <w:r>
                      <w:rPr>
                        <w:rFonts w:ascii="Arial" w:hAnsi="Arial"/>
                        <w:color w:val="A6A6A6"/>
                        <w:sz w:val="22"/>
                      </w:rPr>
                      <w:t>Luxembourg</w:t>
                    </w:r>
                  </w:p>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342" w:rsidRDefault="00040788">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724800" behindDoc="0" locked="0" layoutInCell="1" allowOverlap="1" wp14:anchorId="06956176" wp14:editId="2BC89D65">
              <wp:simplePos x="0" y="0"/>
              <wp:positionH relativeFrom="column">
                <wp:posOffset>-900430</wp:posOffset>
              </wp:positionH>
              <wp:positionV relativeFrom="paragraph">
                <wp:posOffset>630555</wp:posOffset>
              </wp:positionV>
              <wp:extent cx="7559675" cy="45720"/>
              <wp:effectExtent l="0" t="19050" r="0" b="1143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rsidR="00E26342" w:rsidRDefault="00E26342">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70.9pt;margin-top:49.65pt;width:595.25pt;height:3.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" filled="f" stroked="f">
              <v:textbox>
                <w:txbxContent>
                  <w:p w:rsidR="00E26342" w:rsidRDefault="00E26342">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722752" behindDoc="0" locked="0" layoutInCell="1" allowOverlap="1" wp14:anchorId="4A4B0801" wp14:editId="3B7EDFD0">
              <wp:simplePos x="0" y="0"/>
              <wp:positionH relativeFrom="column">
                <wp:posOffset>-900430</wp:posOffset>
              </wp:positionH>
              <wp:positionV relativeFrom="paragraph">
                <wp:posOffset>222250</wp:posOffset>
              </wp:positionV>
              <wp:extent cx="7557135" cy="40894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rsidR="00E26342" w:rsidRDefault="00040788">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2017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70.9pt;margin-top:17.5pt;width:595.05pt;height:32.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" filled="f" stroked="f">
              <v:textbox>
                <w:txbxContent>
                  <w:p w:rsidR="00E26342" w:rsidRDefault="00040788">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2017 Annual Report</w:t>
                    </w:r>
                  </w:p>
                </w:txbxContent>
              </v:textbox>
            </v:shape>
          </w:pict>
        </mc:Fallback>
      </mc:AlternateContent>
    </w:r>
    <w:r>
      <w:rPr>
        <w:noProof/>
        <w:lang w:eastAsia="en-GB"/>
      </w:rPr>
      <mc:AlternateContent>
        <mc:Choice Requires="wps">
          <w:drawing>
            <wp:anchor distT="0" distB="0" distL="114300" distR="114300" simplePos="0" relativeHeight="251721728" behindDoc="0" locked="0" layoutInCell="1" allowOverlap="1" wp14:anchorId="0D5CF30D" wp14:editId="41E4EDF3">
              <wp:simplePos x="0" y="0"/>
              <wp:positionH relativeFrom="column">
                <wp:posOffset>4821555</wp:posOffset>
              </wp:positionH>
              <wp:positionV relativeFrom="paragraph">
                <wp:posOffset>300355</wp:posOffset>
              </wp:positionV>
              <wp:extent cx="1835150" cy="219075"/>
              <wp:effectExtent l="0" t="0" r="0" b="952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D38B5DE" id="Rectangle 12" o:spid="_x0000_s1026" style="position:absolute;margin-left:379.65pt;margin-top:23.65pt;width:144.5pt;height:17.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" fillcolor="#004194" stroked="f" strokeweight="2pt">
              <v:path arrowok="t"/>
            </v:rect>
          </w:pict>
        </mc:Fallback>
      </mc:AlternateContent>
    </w:r>
    <w:r>
      <w:rPr>
        <w:noProof/>
        <w:lang w:eastAsia="en-GB"/>
      </w:rPr>
      <mc:AlternateContent>
        <mc:Choice Requires="wps">
          <w:drawing>
            <wp:anchor distT="0" distB="0" distL="114300" distR="114300" simplePos="0" relativeHeight="251723776" behindDoc="0" locked="0" layoutInCell="1" allowOverlap="1" wp14:anchorId="06894DE9" wp14:editId="5C7E93D2">
              <wp:simplePos x="0" y="0"/>
              <wp:positionH relativeFrom="column">
                <wp:posOffset>-900430</wp:posOffset>
              </wp:positionH>
              <wp:positionV relativeFrom="paragraph">
                <wp:posOffset>300355</wp:posOffset>
              </wp:positionV>
              <wp:extent cx="1803400" cy="219075"/>
              <wp:effectExtent l="0" t="0" r="6350" b="952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608D00E" id="Rectangle 13" o:spid="_x0000_s1026" style="position:absolute;margin-left:-70.9pt;margin-top:23.65pt;width:142pt;height:17.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" fillcolor="#004194" stroked="f" strokeweight="2pt">
              <v:path arrowok="t"/>
            </v:rect>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342" w:rsidRDefault="00E2634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342" w:rsidRDefault="00040788">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687936" behindDoc="0" locked="0" layoutInCell="1" allowOverlap="1" wp14:anchorId="7EF9D79F" wp14:editId="51D1E406">
              <wp:simplePos x="0" y="0"/>
              <wp:positionH relativeFrom="column">
                <wp:posOffset>-900430</wp:posOffset>
              </wp:positionH>
              <wp:positionV relativeFrom="paragraph">
                <wp:posOffset>630555</wp:posOffset>
              </wp:positionV>
              <wp:extent cx="7559675" cy="45720"/>
              <wp:effectExtent l="0" t="19050" r="0" b="11430"/>
              <wp:wrapNone/>
              <wp:docPr id="6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rsidR="00E26342" w:rsidRDefault="00E26342">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70.9pt;margin-top:49.65pt;width:595.25pt;height: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" filled="f" stroked="f">
              <v:textbox>
                <w:txbxContent>
                  <w:p w:rsidR="00E26342" w:rsidRDefault="00E26342">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685888" behindDoc="0" locked="0" layoutInCell="1" allowOverlap="1" wp14:anchorId="7C259E5B" wp14:editId="4A3903A4">
              <wp:simplePos x="0" y="0"/>
              <wp:positionH relativeFrom="column">
                <wp:posOffset>4821555</wp:posOffset>
              </wp:positionH>
              <wp:positionV relativeFrom="paragraph">
                <wp:posOffset>300355</wp:posOffset>
              </wp:positionV>
              <wp:extent cx="1835150" cy="219075"/>
              <wp:effectExtent l="0" t="0" r="0" b="9525"/>
              <wp:wrapNone/>
              <wp:docPr id="628" name="Rectangle 6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68EA88E" id="Rectangle 628" o:spid="_x0000_s1026" style="position:absolute;margin-left:379.65pt;margin-top:23.65pt;width:144.5pt;height:1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" fillcolor="#004194" stroked="f" strokeweight="2pt">
              <v:path arrowok="t"/>
            </v:rect>
          </w:pict>
        </mc:Fallback>
      </mc:AlternateContent>
    </w:r>
    <w:r>
      <w:rPr>
        <w:noProof/>
        <w:lang w:eastAsia="en-GB"/>
      </w:rPr>
      <mc:AlternateContent>
        <mc:Choice Requires="wps">
          <w:drawing>
            <wp:anchor distT="0" distB="0" distL="114300" distR="114300" simplePos="0" relativeHeight="251682816" behindDoc="0" locked="0" layoutInCell="1" allowOverlap="1" wp14:anchorId="084D8AB7" wp14:editId="21CF43AF">
              <wp:simplePos x="0" y="0"/>
              <wp:positionH relativeFrom="column">
                <wp:posOffset>-900430</wp:posOffset>
              </wp:positionH>
              <wp:positionV relativeFrom="paragraph">
                <wp:posOffset>300355</wp:posOffset>
              </wp:positionV>
              <wp:extent cx="1803400" cy="219075"/>
              <wp:effectExtent l="0" t="0" r="6350" b="9525"/>
              <wp:wrapNone/>
              <wp:docPr id="629" name="Rectangle 6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88EDF62" id="Rectangle 629" o:spid="_x0000_s1026" style="position:absolute;margin-left:-70.9pt;margin-top:23.65pt;width:142pt;height:17.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" fillcolor="#004194" stroked="f" strokeweight="2pt">
              <v:path arrowok="t"/>
            </v:rect>
          </w:pict>
        </mc:Fallback>
      </mc:AlternateContent>
    </w:r>
  </w:p>
  <w:p w:rsidR="00E26342" w:rsidRDefault="00040788">
    <w:pPr>
      <w:pStyle w:val="Header"/>
    </w:pPr>
    <w:r>
      <w:rPr>
        <w:noProof/>
        <w:lang w:eastAsia="en-GB"/>
      </w:rPr>
      <mc:AlternateContent>
        <mc:Choice Requires="wps">
          <w:drawing>
            <wp:anchor distT="0" distB="0" distL="114300" distR="114300" simplePos="0" relativeHeight="251679744" behindDoc="0" locked="0" layoutInCell="1" allowOverlap="1" wp14:anchorId="276442B4" wp14:editId="4C5FBAB9">
              <wp:simplePos x="0" y="0"/>
              <wp:positionH relativeFrom="column">
                <wp:posOffset>-975995</wp:posOffset>
              </wp:positionH>
              <wp:positionV relativeFrom="paragraph">
                <wp:posOffset>43815</wp:posOffset>
              </wp:positionV>
              <wp:extent cx="7557135" cy="579120"/>
              <wp:effectExtent l="0" t="0" r="0" b="0"/>
              <wp:wrapNone/>
              <wp:docPr id="6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579120"/>
                      </a:xfrm>
                      <a:prstGeom prst="rect">
                        <a:avLst/>
                      </a:prstGeom>
                      <a:noFill/>
                      <a:ln w="9525">
                        <a:noFill/>
                        <a:miter lim="800000"/>
                        <a:headEnd/>
                        <a:tailEnd/>
                      </a:ln>
                    </wps:spPr>
                    <wps:txbx>
                      <w:txbxContent>
                        <w:p w:rsidR="00E26342" w:rsidRDefault="00040788">
                          <w:pPr>
                            <w:spacing w:after="0"/>
                            <w:jc w:val="center"/>
                            <w:rPr>
                              <w:rFonts w:ascii="Arial" w:hAnsi="Arial" w:cs="Arial"/>
                              <w:color w:val="004194"/>
                              <w:sz w:val="20"/>
                            </w:rPr>
                          </w:pPr>
                          <w:r>
                            <w:rPr>
                              <w:rFonts w:ascii="Arial" w:hAnsi="Arial" w:cs="Arial"/>
                              <w:color w:val="004194"/>
                              <w:sz w:val="20"/>
                            </w:rPr>
                            <w:t>Monitoring the application of European Union law</w:t>
                          </w:r>
                        </w:p>
                        <w:p w:rsidR="00E26342" w:rsidRDefault="00040788">
                          <w:pPr>
                            <w:spacing w:after="0"/>
                            <w:jc w:val="center"/>
                            <w:rPr>
                              <w:rFonts w:ascii="Arial" w:hAnsi="Arial" w:cs="Arial"/>
                              <w:color w:val="004194"/>
                              <w:sz w:val="20"/>
                            </w:rPr>
                          </w:pPr>
                          <w:r>
                            <w:rPr>
                              <w:rFonts w:ascii="Arial" w:hAnsi="Arial" w:cs="Arial"/>
                              <w:color w:val="004194"/>
                              <w:sz w:val="20"/>
                            </w:rPr>
                            <w:t>2017 Annual Report</w:t>
                          </w:r>
                        </w:p>
                        <w:p w:rsidR="00E26342" w:rsidRDefault="00040788">
                          <w:pPr>
                            <w:spacing w:after="0"/>
                            <w:jc w:val="center"/>
                            <w:rPr>
                              <w:rFonts w:ascii="Arial" w:hAnsi="Arial" w:cs="Arial"/>
                              <w:b/>
                              <w:color w:val="A6A6A6"/>
                              <w:sz w:val="22"/>
                              <w:szCs w:val="22"/>
                            </w:rPr>
                          </w:pPr>
                          <w:r>
                            <w:rPr>
                              <w:rFonts w:ascii="Arial" w:hAnsi="Arial"/>
                              <w:color w:val="A6A6A6"/>
                              <w:sz w:val="22"/>
                            </w:rPr>
                            <w:t>Hungary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76.85pt;margin-top:3.45pt;width:595.05pt;height:45.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" filled="f" stroked="f">
              <v:textbox>
                <w:txbxContent>
                  <w:p w:rsidR="00E26342" w:rsidRDefault="00040788">
                    <w:pPr>
                      <w:spacing w:after="0"/>
                      <w:jc w:val="center"/>
                      <w:rPr>
                        <w:rFonts w:ascii="Arial" w:hAnsi="Arial" w:cs="Arial"/>
                        <w:color w:val="004194"/>
                        <w:sz w:val="20"/>
                      </w:rPr>
                    </w:pPr>
                    <w:r>
                      <w:rPr>
                        <w:rFonts w:ascii="Arial" w:hAnsi="Arial" w:cs="Arial"/>
                        <w:color w:val="004194"/>
                        <w:sz w:val="20"/>
                      </w:rPr>
                      <w:t>Monitoring the application of European Union law</w:t>
                    </w:r>
                  </w:p>
                  <w:p w:rsidR="00E26342" w:rsidRDefault="00040788">
                    <w:pPr>
                      <w:spacing w:after="0"/>
                      <w:jc w:val="center"/>
                      <w:rPr>
                        <w:rFonts w:ascii="Arial" w:hAnsi="Arial" w:cs="Arial"/>
                        <w:color w:val="004194"/>
                        <w:sz w:val="20"/>
                      </w:rPr>
                    </w:pPr>
                    <w:r>
                      <w:rPr>
                        <w:rFonts w:ascii="Arial" w:hAnsi="Arial" w:cs="Arial"/>
                        <w:color w:val="004194"/>
                        <w:sz w:val="20"/>
                      </w:rPr>
                      <w:t>2017 Annual Report</w:t>
                    </w:r>
                  </w:p>
                  <w:p w:rsidR="00E26342" w:rsidRDefault="00040788">
                    <w:pPr>
                      <w:spacing w:after="0"/>
                      <w:jc w:val="center"/>
                      <w:rPr>
                        <w:rFonts w:ascii="Arial" w:hAnsi="Arial" w:cs="Arial"/>
                        <w:b/>
                        <w:color w:val="A6A6A6"/>
                        <w:sz w:val="22"/>
                        <w:szCs w:val="22"/>
                      </w:rPr>
                    </w:pPr>
                    <w:r>
                      <w:rPr>
                        <w:rFonts w:ascii="Arial" w:hAnsi="Arial"/>
                        <w:color w:val="A6A6A6"/>
                        <w:sz w:val="22"/>
                      </w:rPr>
                      <w:t>Hungary</w:t>
                    </w:r>
                  </w:p>
                </w:txbxContent>
              </v:textbox>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342" w:rsidRDefault="00040788">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676672" behindDoc="0" locked="0" layoutInCell="1" allowOverlap="1" wp14:anchorId="0F8B220D" wp14:editId="67A61434">
              <wp:simplePos x="0" y="0"/>
              <wp:positionH relativeFrom="column">
                <wp:posOffset>-900430</wp:posOffset>
              </wp:positionH>
              <wp:positionV relativeFrom="paragraph">
                <wp:posOffset>630555</wp:posOffset>
              </wp:positionV>
              <wp:extent cx="7559675" cy="45720"/>
              <wp:effectExtent l="0" t="19050" r="0" b="11430"/>
              <wp:wrapNone/>
              <wp:docPr id="6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rsidR="00E26342" w:rsidRDefault="00E26342">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left:0;text-align:left;margin-left:-70.9pt;margin-top:49.65pt;width:595.25pt;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" filled="f" stroked="f">
              <v:textbox>
                <w:txbxContent>
                  <w:p w:rsidR="00E26342" w:rsidRDefault="00E26342">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667456" behindDoc="0" locked="0" layoutInCell="1" allowOverlap="1" wp14:anchorId="6961F3AB" wp14:editId="6DCDCCB9">
              <wp:simplePos x="0" y="0"/>
              <wp:positionH relativeFrom="column">
                <wp:posOffset>-900430</wp:posOffset>
              </wp:positionH>
              <wp:positionV relativeFrom="paragraph">
                <wp:posOffset>222250</wp:posOffset>
              </wp:positionV>
              <wp:extent cx="7557135" cy="408940"/>
              <wp:effectExtent l="0" t="0" r="0" b="0"/>
              <wp:wrapNone/>
              <wp:docPr id="6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rsidR="00E26342" w:rsidRDefault="00040788">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rsidR="00E26342" w:rsidRDefault="00040788">
                          <w:pPr>
                            <w:tabs>
                              <w:tab w:val="left" w:pos="4111"/>
                            </w:tabs>
                            <w:spacing w:after="0"/>
                            <w:jc w:val="center"/>
                            <w:rPr>
                              <w:rFonts w:ascii="Arial" w:hAnsi="Arial" w:cs="Arial"/>
                              <w:color w:val="004194"/>
                              <w:sz w:val="20"/>
                            </w:rPr>
                          </w:pPr>
                          <w:r>
                            <w:rPr>
                              <w:rFonts w:ascii="Arial" w:hAnsi="Arial" w:cs="Arial"/>
                              <w:color w:val="004194"/>
                              <w:sz w:val="20"/>
                            </w:rPr>
                            <w:t>2017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70.9pt;margin-top:17.5pt;width:595.05pt;height:32.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" filled="f" stroked="f">
              <v:textbox>
                <w:txbxContent>
                  <w:p w:rsidR="00E26342" w:rsidRDefault="00040788">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rsidR="00E26342" w:rsidRDefault="00040788">
                    <w:pPr>
                      <w:tabs>
                        <w:tab w:val="left" w:pos="4111"/>
                      </w:tabs>
                      <w:spacing w:after="0"/>
                      <w:jc w:val="center"/>
                      <w:rPr>
                        <w:rFonts w:ascii="Arial" w:hAnsi="Arial" w:cs="Arial"/>
                        <w:color w:val="004194"/>
                        <w:sz w:val="20"/>
                      </w:rPr>
                    </w:pPr>
                    <w:r>
                      <w:rPr>
                        <w:rFonts w:ascii="Arial" w:hAnsi="Arial" w:cs="Arial"/>
                        <w:color w:val="004194"/>
                        <w:sz w:val="20"/>
                      </w:rPr>
                      <w:t>2017 Annual Report</w:t>
                    </w:r>
                  </w:p>
                </w:txbxContent>
              </v:textbox>
            </v:shape>
          </w:pict>
        </mc:Fallback>
      </mc:AlternateContent>
    </w:r>
    <w:r>
      <w:rPr>
        <w:noProof/>
        <w:lang w:eastAsia="en-GB"/>
      </w:rPr>
      <mc:AlternateContent>
        <mc:Choice Requires="wps">
          <w:drawing>
            <wp:anchor distT="0" distB="0" distL="114300" distR="114300" simplePos="0" relativeHeight="251673600" behindDoc="0" locked="0" layoutInCell="1" allowOverlap="1" wp14:anchorId="0B33BABD" wp14:editId="5A8F9CEE">
              <wp:simplePos x="0" y="0"/>
              <wp:positionH relativeFrom="column">
                <wp:posOffset>4821555</wp:posOffset>
              </wp:positionH>
              <wp:positionV relativeFrom="paragraph">
                <wp:posOffset>300355</wp:posOffset>
              </wp:positionV>
              <wp:extent cx="1835150" cy="219075"/>
              <wp:effectExtent l="0" t="0" r="0" b="9525"/>
              <wp:wrapNone/>
              <wp:docPr id="632" name="Rectangle 6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5F9CEE8" id="Rectangle 632" o:spid="_x0000_s1026" style="position:absolute;margin-left:379.65pt;margin-top:23.65pt;width:144.5pt;height:1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" fillcolor="#004194" stroked="f" strokeweight="2pt">
              <v:path arrowok="t"/>
            </v:rect>
          </w:pict>
        </mc:Fallback>
      </mc:AlternateContent>
    </w:r>
    <w:r>
      <w:rPr>
        <w:noProof/>
        <w:lang w:eastAsia="en-GB"/>
      </w:rPr>
      <mc:AlternateContent>
        <mc:Choice Requires="wps">
          <w:drawing>
            <wp:anchor distT="0" distB="0" distL="114300" distR="114300" simplePos="0" relativeHeight="251670528" behindDoc="0" locked="0" layoutInCell="1" allowOverlap="1" wp14:anchorId="5284401C" wp14:editId="369C505C">
              <wp:simplePos x="0" y="0"/>
              <wp:positionH relativeFrom="column">
                <wp:posOffset>-900430</wp:posOffset>
              </wp:positionH>
              <wp:positionV relativeFrom="paragraph">
                <wp:posOffset>300355</wp:posOffset>
              </wp:positionV>
              <wp:extent cx="1803400" cy="219075"/>
              <wp:effectExtent l="0" t="0" r="6350" b="9525"/>
              <wp:wrapNone/>
              <wp:docPr id="633" name="Rectangle 6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391D59A" id="Rectangle 633" o:spid="_x0000_s1026" style="position:absolute;margin-left:-70.9pt;margin-top:23.65pt;width:142pt;height:17.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" fillcolor="#004194" stroked="f" strokeweight="2pt">
              <v:path arrowok="t"/>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8092"/>
        </w:tabs>
        <w:ind w:left="8092" w:hanging="360"/>
      </w:pPr>
    </w:lvl>
  </w:abstractNum>
  <w:abstractNum w:abstractNumId="1">
    <w:nsid w:val="006E2A34"/>
    <w:multiLevelType w:val="hybridMultilevel"/>
    <w:tmpl w:val="AEA46382"/>
    <w:lvl w:ilvl="0" w:tplc="D93E9850">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28E3086"/>
    <w:multiLevelType w:val="hybridMultilevel"/>
    <w:tmpl w:val="6F686166"/>
    <w:lvl w:ilvl="0" w:tplc="08090001">
      <w:start w:val="1"/>
      <w:numFmt w:val="bullet"/>
      <w:lvlText w:val=""/>
      <w:lvlJc w:val="left"/>
      <w:pPr>
        <w:ind w:left="1069" w:hanging="360"/>
      </w:pPr>
      <w:rPr>
        <w:rFonts w:ascii="Symbol" w:hAnsi="Symbol" w:hint="default"/>
      </w:rPr>
    </w:lvl>
    <w:lvl w:ilvl="1" w:tplc="08090003">
      <w:start w:val="1"/>
      <w:numFmt w:val="bullet"/>
      <w:lvlText w:val="o"/>
      <w:lvlJc w:val="left"/>
      <w:pPr>
        <w:ind w:left="1789" w:hanging="360"/>
      </w:pPr>
      <w:rPr>
        <w:rFonts w:ascii="Courier New" w:hAnsi="Courier New" w:cs="Courier New" w:hint="default"/>
      </w:rPr>
    </w:lvl>
    <w:lvl w:ilvl="2" w:tplc="08090005">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
    <w:nsid w:val="02BA39C0"/>
    <w:multiLevelType w:val="hybridMultilevel"/>
    <w:tmpl w:val="3FB0B75C"/>
    <w:lvl w:ilvl="0" w:tplc="E362A898">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3AE4A63"/>
    <w:multiLevelType w:val="hybridMultilevel"/>
    <w:tmpl w:val="319C786C"/>
    <w:lvl w:ilvl="0" w:tplc="08090001">
      <w:start w:val="1"/>
      <w:numFmt w:val="bullet"/>
      <w:lvlText w:val=""/>
      <w:lvlJc w:val="left"/>
      <w:pPr>
        <w:ind w:left="1779" w:hanging="360"/>
      </w:pPr>
      <w:rPr>
        <w:rFonts w:ascii="Symbol" w:hAnsi="Symbol" w:hint="default"/>
      </w:rPr>
    </w:lvl>
    <w:lvl w:ilvl="1" w:tplc="08090003">
      <w:start w:val="1"/>
      <w:numFmt w:val="bullet"/>
      <w:lvlText w:val="o"/>
      <w:lvlJc w:val="left"/>
      <w:pPr>
        <w:ind w:left="2499" w:hanging="360"/>
      </w:pPr>
      <w:rPr>
        <w:rFonts w:ascii="Courier New" w:hAnsi="Courier New" w:cs="Courier New" w:hint="default"/>
      </w:rPr>
    </w:lvl>
    <w:lvl w:ilvl="2" w:tplc="08090005" w:tentative="1">
      <w:start w:val="1"/>
      <w:numFmt w:val="bullet"/>
      <w:lvlText w:val=""/>
      <w:lvlJc w:val="left"/>
      <w:pPr>
        <w:ind w:left="3219" w:hanging="360"/>
      </w:pPr>
      <w:rPr>
        <w:rFonts w:ascii="Wingdings" w:hAnsi="Wingdings" w:hint="default"/>
      </w:rPr>
    </w:lvl>
    <w:lvl w:ilvl="3" w:tplc="08090001" w:tentative="1">
      <w:start w:val="1"/>
      <w:numFmt w:val="bullet"/>
      <w:lvlText w:val=""/>
      <w:lvlJc w:val="left"/>
      <w:pPr>
        <w:ind w:left="3939" w:hanging="360"/>
      </w:pPr>
      <w:rPr>
        <w:rFonts w:ascii="Symbol" w:hAnsi="Symbol" w:hint="default"/>
      </w:rPr>
    </w:lvl>
    <w:lvl w:ilvl="4" w:tplc="08090003" w:tentative="1">
      <w:start w:val="1"/>
      <w:numFmt w:val="bullet"/>
      <w:lvlText w:val="o"/>
      <w:lvlJc w:val="left"/>
      <w:pPr>
        <w:ind w:left="4659" w:hanging="360"/>
      </w:pPr>
      <w:rPr>
        <w:rFonts w:ascii="Courier New" w:hAnsi="Courier New" w:cs="Courier New" w:hint="default"/>
      </w:rPr>
    </w:lvl>
    <w:lvl w:ilvl="5" w:tplc="08090005" w:tentative="1">
      <w:start w:val="1"/>
      <w:numFmt w:val="bullet"/>
      <w:lvlText w:val=""/>
      <w:lvlJc w:val="left"/>
      <w:pPr>
        <w:ind w:left="5379" w:hanging="360"/>
      </w:pPr>
      <w:rPr>
        <w:rFonts w:ascii="Wingdings" w:hAnsi="Wingdings" w:hint="default"/>
      </w:rPr>
    </w:lvl>
    <w:lvl w:ilvl="6" w:tplc="08090001" w:tentative="1">
      <w:start w:val="1"/>
      <w:numFmt w:val="bullet"/>
      <w:lvlText w:val=""/>
      <w:lvlJc w:val="left"/>
      <w:pPr>
        <w:ind w:left="6099" w:hanging="360"/>
      </w:pPr>
      <w:rPr>
        <w:rFonts w:ascii="Symbol" w:hAnsi="Symbol" w:hint="default"/>
      </w:rPr>
    </w:lvl>
    <w:lvl w:ilvl="7" w:tplc="08090003" w:tentative="1">
      <w:start w:val="1"/>
      <w:numFmt w:val="bullet"/>
      <w:lvlText w:val="o"/>
      <w:lvlJc w:val="left"/>
      <w:pPr>
        <w:ind w:left="6819" w:hanging="360"/>
      </w:pPr>
      <w:rPr>
        <w:rFonts w:ascii="Courier New" w:hAnsi="Courier New" w:cs="Courier New" w:hint="default"/>
      </w:rPr>
    </w:lvl>
    <w:lvl w:ilvl="8" w:tplc="08090005" w:tentative="1">
      <w:start w:val="1"/>
      <w:numFmt w:val="bullet"/>
      <w:lvlText w:val=""/>
      <w:lvlJc w:val="left"/>
      <w:pPr>
        <w:ind w:left="7539" w:hanging="360"/>
      </w:pPr>
      <w:rPr>
        <w:rFonts w:ascii="Wingdings" w:hAnsi="Wingdings" w:hint="default"/>
      </w:rPr>
    </w:lvl>
  </w:abstractNum>
  <w:abstractNum w:abstractNumId="5">
    <w:nsid w:val="041B21C1"/>
    <w:multiLevelType w:val="hybridMultilevel"/>
    <w:tmpl w:val="3FB0B75C"/>
    <w:lvl w:ilvl="0" w:tplc="E362A898">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6D838E6"/>
    <w:multiLevelType w:val="hybridMultilevel"/>
    <w:tmpl w:val="8D905C3C"/>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7">
    <w:nsid w:val="08281322"/>
    <w:multiLevelType w:val="hybridMultilevel"/>
    <w:tmpl w:val="44A82CFA"/>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8">
    <w:nsid w:val="0A312BAF"/>
    <w:multiLevelType w:val="hybridMultilevel"/>
    <w:tmpl w:val="3FB0B75C"/>
    <w:lvl w:ilvl="0" w:tplc="E362A898">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0B532109"/>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0C456AC4"/>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0C6404A1"/>
    <w:multiLevelType w:val="hybridMultilevel"/>
    <w:tmpl w:val="7A7A39F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2">
    <w:nsid w:val="0D3307CF"/>
    <w:multiLevelType w:val="hybridMultilevel"/>
    <w:tmpl w:val="4156D188"/>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3">
    <w:nsid w:val="0DEB2BE7"/>
    <w:multiLevelType w:val="hybridMultilevel"/>
    <w:tmpl w:val="3FB0B75C"/>
    <w:lvl w:ilvl="0" w:tplc="E362A898">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0E841D15"/>
    <w:multiLevelType w:val="hybridMultilevel"/>
    <w:tmpl w:val="3FB0B75C"/>
    <w:lvl w:ilvl="0" w:tplc="E362A898">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0FBC50E3"/>
    <w:multiLevelType w:val="hybridMultilevel"/>
    <w:tmpl w:val="D248D298"/>
    <w:lvl w:ilvl="0" w:tplc="08090001">
      <w:start w:val="1"/>
      <w:numFmt w:val="bullet"/>
      <w:lvlText w:val=""/>
      <w:lvlJc w:val="left"/>
      <w:pPr>
        <w:ind w:left="2771"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3">
      <w:start w:val="1"/>
      <w:numFmt w:val="bullet"/>
      <w:lvlText w:val="o"/>
      <w:lvlJc w:val="left"/>
      <w:pPr>
        <w:ind w:left="2520" w:hanging="360"/>
      </w:pPr>
      <w:rPr>
        <w:rFonts w:ascii="Courier New" w:hAnsi="Courier New" w:cs="Courier New"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6">
    <w:nsid w:val="10F24F4A"/>
    <w:multiLevelType w:val="hybridMultilevel"/>
    <w:tmpl w:val="3FB0B75C"/>
    <w:lvl w:ilvl="0" w:tplc="E362A898">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10F95950"/>
    <w:multiLevelType w:val="hybridMultilevel"/>
    <w:tmpl w:val="3FB0B75C"/>
    <w:lvl w:ilvl="0" w:tplc="E362A898">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1322231D"/>
    <w:multiLevelType w:val="hybridMultilevel"/>
    <w:tmpl w:val="6F98973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9">
    <w:nsid w:val="135F4EB8"/>
    <w:multiLevelType w:val="hybridMultilevel"/>
    <w:tmpl w:val="3FB0B75C"/>
    <w:lvl w:ilvl="0" w:tplc="E362A898">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13781455"/>
    <w:multiLevelType w:val="hybridMultilevel"/>
    <w:tmpl w:val="3FB0B75C"/>
    <w:lvl w:ilvl="0" w:tplc="E362A898">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137A7003"/>
    <w:multiLevelType w:val="hybridMultilevel"/>
    <w:tmpl w:val="E5406C7C"/>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22">
    <w:nsid w:val="158D7BEA"/>
    <w:multiLevelType w:val="hybridMultilevel"/>
    <w:tmpl w:val="D44E4A7E"/>
    <w:lvl w:ilvl="0" w:tplc="666CA6D0">
      <w:start w:val="1"/>
      <w:numFmt w:val="lowerLetter"/>
      <w:lvlText w:val="%1)"/>
      <w:lvlJc w:val="left"/>
      <w:pPr>
        <w:ind w:left="1845" w:hanging="705"/>
      </w:pPr>
      <w:rPr>
        <w:rFonts w:ascii="Arial" w:hAnsi="Arial" w:cs="Arial" w:hint="default"/>
      </w:rPr>
    </w:lvl>
    <w:lvl w:ilvl="1" w:tplc="08130019">
      <w:start w:val="1"/>
      <w:numFmt w:val="lowerLetter"/>
      <w:lvlText w:val="%2."/>
      <w:lvlJc w:val="left"/>
      <w:pPr>
        <w:ind w:left="2220" w:hanging="360"/>
      </w:pPr>
    </w:lvl>
    <w:lvl w:ilvl="2" w:tplc="0813001B" w:tentative="1">
      <w:start w:val="1"/>
      <w:numFmt w:val="lowerRoman"/>
      <w:lvlText w:val="%3."/>
      <w:lvlJc w:val="right"/>
      <w:pPr>
        <w:ind w:left="2940" w:hanging="180"/>
      </w:pPr>
    </w:lvl>
    <w:lvl w:ilvl="3" w:tplc="0813000F" w:tentative="1">
      <w:start w:val="1"/>
      <w:numFmt w:val="decimal"/>
      <w:lvlText w:val="%4."/>
      <w:lvlJc w:val="left"/>
      <w:pPr>
        <w:ind w:left="3660" w:hanging="360"/>
      </w:pPr>
    </w:lvl>
    <w:lvl w:ilvl="4" w:tplc="08130019" w:tentative="1">
      <w:start w:val="1"/>
      <w:numFmt w:val="lowerLetter"/>
      <w:lvlText w:val="%5."/>
      <w:lvlJc w:val="left"/>
      <w:pPr>
        <w:ind w:left="4380" w:hanging="360"/>
      </w:pPr>
    </w:lvl>
    <w:lvl w:ilvl="5" w:tplc="0813001B" w:tentative="1">
      <w:start w:val="1"/>
      <w:numFmt w:val="lowerRoman"/>
      <w:lvlText w:val="%6."/>
      <w:lvlJc w:val="right"/>
      <w:pPr>
        <w:ind w:left="5100" w:hanging="180"/>
      </w:pPr>
    </w:lvl>
    <w:lvl w:ilvl="6" w:tplc="0813000F" w:tentative="1">
      <w:start w:val="1"/>
      <w:numFmt w:val="decimal"/>
      <w:lvlText w:val="%7."/>
      <w:lvlJc w:val="left"/>
      <w:pPr>
        <w:ind w:left="5820" w:hanging="360"/>
      </w:pPr>
    </w:lvl>
    <w:lvl w:ilvl="7" w:tplc="08130019" w:tentative="1">
      <w:start w:val="1"/>
      <w:numFmt w:val="lowerLetter"/>
      <w:lvlText w:val="%8."/>
      <w:lvlJc w:val="left"/>
      <w:pPr>
        <w:ind w:left="6540" w:hanging="360"/>
      </w:pPr>
    </w:lvl>
    <w:lvl w:ilvl="8" w:tplc="0813001B" w:tentative="1">
      <w:start w:val="1"/>
      <w:numFmt w:val="lowerRoman"/>
      <w:lvlText w:val="%9."/>
      <w:lvlJc w:val="right"/>
      <w:pPr>
        <w:ind w:left="7260" w:hanging="180"/>
      </w:pPr>
    </w:lvl>
  </w:abstractNum>
  <w:abstractNum w:abstractNumId="23">
    <w:nsid w:val="17763D73"/>
    <w:multiLevelType w:val="hybridMultilevel"/>
    <w:tmpl w:val="3FB0B75C"/>
    <w:lvl w:ilvl="0" w:tplc="E362A898">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185240A1"/>
    <w:multiLevelType w:val="hybridMultilevel"/>
    <w:tmpl w:val="D8A022BE"/>
    <w:lvl w:ilvl="0" w:tplc="3A52E42C">
      <w:start w:val="1"/>
      <w:numFmt w:val="bullet"/>
      <w:lvlText w:val=""/>
      <w:lvlJc w:val="left"/>
      <w:pPr>
        <w:ind w:left="1276" w:hanging="360"/>
      </w:pPr>
      <w:rPr>
        <w:rFonts w:ascii="Symbol" w:hAnsi="Symbol" w:hint="default"/>
        <w:sz w:val="20"/>
        <w:szCs w:val="20"/>
      </w:rPr>
    </w:lvl>
    <w:lvl w:ilvl="1" w:tplc="08090003">
      <w:start w:val="1"/>
      <w:numFmt w:val="bullet"/>
      <w:lvlText w:val="o"/>
      <w:lvlJc w:val="left"/>
      <w:pPr>
        <w:ind w:left="1996" w:hanging="360"/>
      </w:pPr>
      <w:rPr>
        <w:rFonts w:ascii="Courier New" w:hAnsi="Courier New" w:cs="Courier New" w:hint="default"/>
      </w:rPr>
    </w:lvl>
    <w:lvl w:ilvl="2" w:tplc="08090005" w:tentative="1">
      <w:start w:val="1"/>
      <w:numFmt w:val="bullet"/>
      <w:lvlText w:val=""/>
      <w:lvlJc w:val="left"/>
      <w:pPr>
        <w:ind w:left="2716" w:hanging="360"/>
      </w:pPr>
      <w:rPr>
        <w:rFonts w:ascii="Wingdings" w:hAnsi="Wingdings" w:hint="default"/>
      </w:rPr>
    </w:lvl>
    <w:lvl w:ilvl="3" w:tplc="08090001" w:tentative="1">
      <w:start w:val="1"/>
      <w:numFmt w:val="bullet"/>
      <w:lvlText w:val=""/>
      <w:lvlJc w:val="left"/>
      <w:pPr>
        <w:ind w:left="3436" w:hanging="360"/>
      </w:pPr>
      <w:rPr>
        <w:rFonts w:ascii="Symbol" w:hAnsi="Symbol" w:hint="default"/>
      </w:rPr>
    </w:lvl>
    <w:lvl w:ilvl="4" w:tplc="08090003" w:tentative="1">
      <w:start w:val="1"/>
      <w:numFmt w:val="bullet"/>
      <w:lvlText w:val="o"/>
      <w:lvlJc w:val="left"/>
      <w:pPr>
        <w:ind w:left="4156" w:hanging="360"/>
      </w:pPr>
      <w:rPr>
        <w:rFonts w:ascii="Courier New" w:hAnsi="Courier New" w:cs="Courier New" w:hint="default"/>
      </w:rPr>
    </w:lvl>
    <w:lvl w:ilvl="5" w:tplc="08090005" w:tentative="1">
      <w:start w:val="1"/>
      <w:numFmt w:val="bullet"/>
      <w:lvlText w:val=""/>
      <w:lvlJc w:val="left"/>
      <w:pPr>
        <w:ind w:left="4876" w:hanging="360"/>
      </w:pPr>
      <w:rPr>
        <w:rFonts w:ascii="Wingdings" w:hAnsi="Wingdings" w:hint="default"/>
      </w:rPr>
    </w:lvl>
    <w:lvl w:ilvl="6" w:tplc="08090001" w:tentative="1">
      <w:start w:val="1"/>
      <w:numFmt w:val="bullet"/>
      <w:lvlText w:val=""/>
      <w:lvlJc w:val="left"/>
      <w:pPr>
        <w:ind w:left="5596" w:hanging="360"/>
      </w:pPr>
      <w:rPr>
        <w:rFonts w:ascii="Symbol" w:hAnsi="Symbol" w:hint="default"/>
      </w:rPr>
    </w:lvl>
    <w:lvl w:ilvl="7" w:tplc="08090003" w:tentative="1">
      <w:start w:val="1"/>
      <w:numFmt w:val="bullet"/>
      <w:lvlText w:val="o"/>
      <w:lvlJc w:val="left"/>
      <w:pPr>
        <w:ind w:left="6316" w:hanging="360"/>
      </w:pPr>
      <w:rPr>
        <w:rFonts w:ascii="Courier New" w:hAnsi="Courier New" w:cs="Courier New" w:hint="default"/>
      </w:rPr>
    </w:lvl>
    <w:lvl w:ilvl="8" w:tplc="08090005" w:tentative="1">
      <w:start w:val="1"/>
      <w:numFmt w:val="bullet"/>
      <w:lvlText w:val=""/>
      <w:lvlJc w:val="left"/>
      <w:pPr>
        <w:ind w:left="7036" w:hanging="360"/>
      </w:pPr>
      <w:rPr>
        <w:rFonts w:ascii="Wingdings" w:hAnsi="Wingdings" w:hint="default"/>
      </w:rPr>
    </w:lvl>
  </w:abstractNum>
  <w:abstractNum w:abstractNumId="25">
    <w:nsid w:val="19AD4072"/>
    <w:multiLevelType w:val="hybridMultilevel"/>
    <w:tmpl w:val="4C84B82A"/>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26">
    <w:nsid w:val="1A8D436A"/>
    <w:multiLevelType w:val="hybridMultilevel"/>
    <w:tmpl w:val="1514F106"/>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7">
    <w:nsid w:val="1A9B57EB"/>
    <w:multiLevelType w:val="hybridMultilevel"/>
    <w:tmpl w:val="480074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nsid w:val="1AB13622"/>
    <w:multiLevelType w:val="hybridMultilevel"/>
    <w:tmpl w:val="FD58BD72"/>
    <w:lvl w:ilvl="0" w:tplc="A0C2CF64">
      <w:start w:val="1"/>
      <w:numFmt w:val="bullet"/>
      <w:lvlText w:val=""/>
      <w:lvlJc w:val="left"/>
      <w:pPr>
        <w:ind w:left="2137" w:hanging="360"/>
      </w:pPr>
      <w:rPr>
        <w:rFonts w:ascii="Symbol" w:hAnsi="Symbol" w:hint="default"/>
        <w:sz w:val="20"/>
        <w:szCs w:val="20"/>
      </w:rPr>
    </w:lvl>
    <w:lvl w:ilvl="1" w:tplc="08090003">
      <w:start w:val="1"/>
      <w:numFmt w:val="bullet"/>
      <w:lvlText w:val="o"/>
      <w:lvlJc w:val="left"/>
      <w:pPr>
        <w:ind w:left="1166" w:hanging="360"/>
      </w:pPr>
      <w:rPr>
        <w:rFonts w:ascii="Courier New" w:hAnsi="Courier New" w:cs="Courier New" w:hint="default"/>
      </w:rPr>
    </w:lvl>
    <w:lvl w:ilvl="2" w:tplc="F38E26EC">
      <w:start w:val="1"/>
      <w:numFmt w:val="bullet"/>
      <w:lvlText w:val="o"/>
      <w:lvlJc w:val="left"/>
      <w:pPr>
        <w:ind w:left="1886" w:hanging="360"/>
      </w:pPr>
      <w:rPr>
        <w:rFonts w:ascii="Courier New" w:hAnsi="Courier New" w:cs="Courier New" w:hint="default"/>
        <w:sz w:val="18"/>
        <w:szCs w:val="18"/>
      </w:rPr>
    </w:lvl>
    <w:lvl w:ilvl="3" w:tplc="08130001" w:tentative="1">
      <w:start w:val="1"/>
      <w:numFmt w:val="bullet"/>
      <w:lvlText w:val=""/>
      <w:lvlJc w:val="left"/>
      <w:pPr>
        <w:ind w:left="2606" w:hanging="360"/>
      </w:pPr>
      <w:rPr>
        <w:rFonts w:ascii="Symbol" w:hAnsi="Symbol" w:hint="default"/>
      </w:rPr>
    </w:lvl>
    <w:lvl w:ilvl="4" w:tplc="08130003">
      <w:start w:val="1"/>
      <w:numFmt w:val="bullet"/>
      <w:lvlText w:val="o"/>
      <w:lvlJc w:val="left"/>
      <w:pPr>
        <w:ind w:left="3326" w:hanging="360"/>
      </w:pPr>
      <w:rPr>
        <w:rFonts w:ascii="Courier New" w:hAnsi="Courier New" w:cs="Courier New" w:hint="default"/>
      </w:rPr>
    </w:lvl>
    <w:lvl w:ilvl="5" w:tplc="08130005" w:tentative="1">
      <w:start w:val="1"/>
      <w:numFmt w:val="bullet"/>
      <w:lvlText w:val=""/>
      <w:lvlJc w:val="left"/>
      <w:pPr>
        <w:ind w:left="4046" w:hanging="360"/>
      </w:pPr>
      <w:rPr>
        <w:rFonts w:ascii="Wingdings" w:hAnsi="Wingdings" w:hint="default"/>
      </w:rPr>
    </w:lvl>
    <w:lvl w:ilvl="6" w:tplc="08130001" w:tentative="1">
      <w:start w:val="1"/>
      <w:numFmt w:val="bullet"/>
      <w:lvlText w:val=""/>
      <w:lvlJc w:val="left"/>
      <w:pPr>
        <w:ind w:left="4766" w:hanging="360"/>
      </w:pPr>
      <w:rPr>
        <w:rFonts w:ascii="Symbol" w:hAnsi="Symbol" w:hint="default"/>
      </w:rPr>
    </w:lvl>
    <w:lvl w:ilvl="7" w:tplc="08130003" w:tentative="1">
      <w:start w:val="1"/>
      <w:numFmt w:val="bullet"/>
      <w:lvlText w:val="o"/>
      <w:lvlJc w:val="left"/>
      <w:pPr>
        <w:ind w:left="5486" w:hanging="360"/>
      </w:pPr>
      <w:rPr>
        <w:rFonts w:ascii="Courier New" w:hAnsi="Courier New" w:cs="Courier New" w:hint="default"/>
      </w:rPr>
    </w:lvl>
    <w:lvl w:ilvl="8" w:tplc="08130005" w:tentative="1">
      <w:start w:val="1"/>
      <w:numFmt w:val="bullet"/>
      <w:lvlText w:val=""/>
      <w:lvlJc w:val="left"/>
      <w:pPr>
        <w:ind w:left="6206" w:hanging="360"/>
      </w:pPr>
      <w:rPr>
        <w:rFonts w:ascii="Wingdings" w:hAnsi="Wingdings" w:hint="default"/>
      </w:rPr>
    </w:lvl>
  </w:abstractNum>
  <w:abstractNum w:abstractNumId="29">
    <w:nsid w:val="1DDF28AD"/>
    <w:multiLevelType w:val="hybridMultilevel"/>
    <w:tmpl w:val="70E22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1E0B4E2E"/>
    <w:multiLevelType w:val="hybridMultilevel"/>
    <w:tmpl w:val="FEA81A08"/>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1">
    <w:nsid w:val="1F681C9E"/>
    <w:multiLevelType w:val="hybridMultilevel"/>
    <w:tmpl w:val="D2546316"/>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32">
    <w:nsid w:val="1FEB2419"/>
    <w:multiLevelType w:val="hybridMultilevel"/>
    <w:tmpl w:val="F2E0013E"/>
    <w:lvl w:ilvl="0" w:tplc="A0C2CF64">
      <w:start w:val="1"/>
      <w:numFmt w:val="bullet"/>
      <w:lvlText w:val=""/>
      <w:lvlJc w:val="left"/>
      <w:pPr>
        <w:ind w:left="2137" w:hanging="360"/>
      </w:pPr>
      <w:rPr>
        <w:rFonts w:ascii="Symbol" w:hAnsi="Symbol" w:hint="default"/>
      </w:rPr>
    </w:lvl>
    <w:lvl w:ilvl="1" w:tplc="08090003" w:tentative="1">
      <w:start w:val="1"/>
      <w:numFmt w:val="bullet"/>
      <w:lvlText w:val="o"/>
      <w:lvlJc w:val="left"/>
      <w:pPr>
        <w:ind w:left="2857" w:hanging="360"/>
      </w:pPr>
      <w:rPr>
        <w:rFonts w:ascii="Courier New" w:hAnsi="Courier New" w:cs="Courier New" w:hint="default"/>
      </w:rPr>
    </w:lvl>
    <w:lvl w:ilvl="2" w:tplc="08090005" w:tentative="1">
      <w:start w:val="1"/>
      <w:numFmt w:val="bullet"/>
      <w:lvlText w:val=""/>
      <w:lvlJc w:val="left"/>
      <w:pPr>
        <w:ind w:left="3577" w:hanging="360"/>
      </w:pPr>
      <w:rPr>
        <w:rFonts w:ascii="Wingdings" w:hAnsi="Wingdings" w:hint="default"/>
      </w:rPr>
    </w:lvl>
    <w:lvl w:ilvl="3" w:tplc="08090001" w:tentative="1">
      <w:start w:val="1"/>
      <w:numFmt w:val="bullet"/>
      <w:lvlText w:val=""/>
      <w:lvlJc w:val="left"/>
      <w:pPr>
        <w:ind w:left="4297" w:hanging="360"/>
      </w:pPr>
      <w:rPr>
        <w:rFonts w:ascii="Symbol" w:hAnsi="Symbol" w:hint="default"/>
      </w:rPr>
    </w:lvl>
    <w:lvl w:ilvl="4" w:tplc="08090003" w:tentative="1">
      <w:start w:val="1"/>
      <w:numFmt w:val="bullet"/>
      <w:lvlText w:val="o"/>
      <w:lvlJc w:val="left"/>
      <w:pPr>
        <w:ind w:left="5017" w:hanging="360"/>
      </w:pPr>
      <w:rPr>
        <w:rFonts w:ascii="Courier New" w:hAnsi="Courier New" w:cs="Courier New" w:hint="default"/>
      </w:rPr>
    </w:lvl>
    <w:lvl w:ilvl="5" w:tplc="08090005" w:tentative="1">
      <w:start w:val="1"/>
      <w:numFmt w:val="bullet"/>
      <w:lvlText w:val=""/>
      <w:lvlJc w:val="left"/>
      <w:pPr>
        <w:ind w:left="5737" w:hanging="360"/>
      </w:pPr>
      <w:rPr>
        <w:rFonts w:ascii="Wingdings" w:hAnsi="Wingdings" w:hint="default"/>
      </w:rPr>
    </w:lvl>
    <w:lvl w:ilvl="6" w:tplc="08090001" w:tentative="1">
      <w:start w:val="1"/>
      <w:numFmt w:val="bullet"/>
      <w:lvlText w:val=""/>
      <w:lvlJc w:val="left"/>
      <w:pPr>
        <w:ind w:left="6457" w:hanging="360"/>
      </w:pPr>
      <w:rPr>
        <w:rFonts w:ascii="Symbol" w:hAnsi="Symbol" w:hint="default"/>
      </w:rPr>
    </w:lvl>
    <w:lvl w:ilvl="7" w:tplc="08090003" w:tentative="1">
      <w:start w:val="1"/>
      <w:numFmt w:val="bullet"/>
      <w:lvlText w:val="o"/>
      <w:lvlJc w:val="left"/>
      <w:pPr>
        <w:ind w:left="7177" w:hanging="360"/>
      </w:pPr>
      <w:rPr>
        <w:rFonts w:ascii="Courier New" w:hAnsi="Courier New" w:cs="Courier New" w:hint="default"/>
      </w:rPr>
    </w:lvl>
    <w:lvl w:ilvl="8" w:tplc="08090005" w:tentative="1">
      <w:start w:val="1"/>
      <w:numFmt w:val="bullet"/>
      <w:lvlText w:val=""/>
      <w:lvlJc w:val="left"/>
      <w:pPr>
        <w:ind w:left="7897" w:hanging="360"/>
      </w:pPr>
      <w:rPr>
        <w:rFonts w:ascii="Wingdings" w:hAnsi="Wingdings" w:hint="default"/>
      </w:rPr>
    </w:lvl>
  </w:abstractNum>
  <w:abstractNum w:abstractNumId="33">
    <w:nsid w:val="210B48AA"/>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23A819F4"/>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2409156B"/>
    <w:multiLevelType w:val="hybridMultilevel"/>
    <w:tmpl w:val="3FB0B75C"/>
    <w:lvl w:ilvl="0" w:tplc="E362A898">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240E5BB8"/>
    <w:multiLevelType w:val="hybridMultilevel"/>
    <w:tmpl w:val="10D4D6D0"/>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37">
    <w:nsid w:val="24CF4B32"/>
    <w:multiLevelType w:val="hybridMultilevel"/>
    <w:tmpl w:val="25AED57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26540EC6"/>
    <w:multiLevelType w:val="hybridMultilevel"/>
    <w:tmpl w:val="3FB0B75C"/>
    <w:lvl w:ilvl="0" w:tplc="E362A898">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272F7CA1"/>
    <w:multiLevelType w:val="hybridMultilevel"/>
    <w:tmpl w:val="8D905C3C"/>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40">
    <w:nsid w:val="28312958"/>
    <w:multiLevelType w:val="hybridMultilevel"/>
    <w:tmpl w:val="10D4D6D0"/>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41">
    <w:nsid w:val="29B84273"/>
    <w:multiLevelType w:val="hybridMultilevel"/>
    <w:tmpl w:val="3FB0B75C"/>
    <w:lvl w:ilvl="0" w:tplc="E362A898">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2A2A3EB8"/>
    <w:multiLevelType w:val="hybridMultilevel"/>
    <w:tmpl w:val="A684AC68"/>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43">
    <w:nsid w:val="2A386602"/>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45">
    <w:nsid w:val="2CD34EFA"/>
    <w:multiLevelType w:val="hybridMultilevel"/>
    <w:tmpl w:val="8D905C3C"/>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46">
    <w:nsid w:val="2E82650E"/>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30916BA4"/>
    <w:multiLevelType w:val="hybridMultilevel"/>
    <w:tmpl w:val="3FB0B75C"/>
    <w:lvl w:ilvl="0" w:tplc="E362A898">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31BC2377"/>
    <w:multiLevelType w:val="hybridMultilevel"/>
    <w:tmpl w:val="6EF8922E"/>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49">
    <w:nsid w:val="32CA24F5"/>
    <w:multiLevelType w:val="hybridMultilevel"/>
    <w:tmpl w:val="0560A930"/>
    <w:lvl w:ilvl="0" w:tplc="08090001">
      <w:start w:val="1"/>
      <w:numFmt w:val="bullet"/>
      <w:lvlText w:val=""/>
      <w:lvlJc w:val="left"/>
      <w:pPr>
        <w:ind w:left="2520" w:hanging="360"/>
      </w:pPr>
      <w:rPr>
        <w:rFonts w:ascii="Symbol" w:hAnsi="Symbol" w:hint="default"/>
      </w:rPr>
    </w:lvl>
    <w:lvl w:ilvl="1" w:tplc="08090003">
      <w:start w:val="1"/>
      <w:numFmt w:val="bullet"/>
      <w:lvlText w:val="o"/>
      <w:lvlJc w:val="left"/>
      <w:pPr>
        <w:ind w:left="3240" w:hanging="360"/>
      </w:pPr>
      <w:rPr>
        <w:rFonts w:ascii="Courier New" w:hAnsi="Courier New" w:cs="Courier New" w:hint="default"/>
      </w:rPr>
    </w:lvl>
    <w:lvl w:ilvl="2" w:tplc="08090005">
      <w:start w:val="1"/>
      <w:numFmt w:val="bullet"/>
      <w:lvlText w:val=""/>
      <w:lvlJc w:val="left"/>
      <w:pPr>
        <w:ind w:left="3960" w:hanging="360"/>
      </w:pPr>
      <w:rPr>
        <w:rFonts w:ascii="Wingdings" w:hAnsi="Wingdings" w:hint="default"/>
      </w:rPr>
    </w:lvl>
    <w:lvl w:ilvl="3" w:tplc="08090001">
      <w:start w:val="1"/>
      <w:numFmt w:val="bullet"/>
      <w:lvlText w:val=""/>
      <w:lvlJc w:val="left"/>
      <w:pPr>
        <w:ind w:left="4680" w:hanging="360"/>
      </w:pPr>
      <w:rPr>
        <w:rFonts w:ascii="Symbol" w:hAnsi="Symbol" w:hint="default"/>
      </w:rPr>
    </w:lvl>
    <w:lvl w:ilvl="4" w:tplc="08090003">
      <w:start w:val="1"/>
      <w:numFmt w:val="bullet"/>
      <w:lvlText w:val="o"/>
      <w:lvlJc w:val="left"/>
      <w:pPr>
        <w:ind w:left="5400" w:hanging="360"/>
      </w:pPr>
      <w:rPr>
        <w:rFonts w:ascii="Courier New" w:hAnsi="Courier New" w:cs="Courier New" w:hint="default"/>
      </w:rPr>
    </w:lvl>
    <w:lvl w:ilvl="5" w:tplc="08090005">
      <w:start w:val="1"/>
      <w:numFmt w:val="bullet"/>
      <w:lvlText w:val=""/>
      <w:lvlJc w:val="left"/>
      <w:pPr>
        <w:ind w:left="6120" w:hanging="360"/>
      </w:pPr>
      <w:rPr>
        <w:rFonts w:ascii="Wingdings" w:hAnsi="Wingdings" w:hint="default"/>
      </w:rPr>
    </w:lvl>
    <w:lvl w:ilvl="6" w:tplc="08090001">
      <w:start w:val="1"/>
      <w:numFmt w:val="bullet"/>
      <w:lvlText w:val=""/>
      <w:lvlJc w:val="left"/>
      <w:pPr>
        <w:ind w:left="6840" w:hanging="360"/>
      </w:pPr>
      <w:rPr>
        <w:rFonts w:ascii="Symbol" w:hAnsi="Symbol" w:hint="default"/>
      </w:rPr>
    </w:lvl>
    <w:lvl w:ilvl="7" w:tplc="08090003">
      <w:start w:val="1"/>
      <w:numFmt w:val="bullet"/>
      <w:lvlText w:val="o"/>
      <w:lvlJc w:val="left"/>
      <w:pPr>
        <w:ind w:left="7560" w:hanging="360"/>
      </w:pPr>
      <w:rPr>
        <w:rFonts w:ascii="Courier New" w:hAnsi="Courier New" w:cs="Courier New" w:hint="default"/>
      </w:rPr>
    </w:lvl>
    <w:lvl w:ilvl="8" w:tplc="08090005">
      <w:start w:val="1"/>
      <w:numFmt w:val="bullet"/>
      <w:lvlText w:val=""/>
      <w:lvlJc w:val="left"/>
      <w:pPr>
        <w:ind w:left="8280" w:hanging="360"/>
      </w:pPr>
      <w:rPr>
        <w:rFonts w:ascii="Wingdings" w:hAnsi="Wingdings" w:hint="default"/>
      </w:rPr>
    </w:lvl>
  </w:abstractNum>
  <w:abstractNum w:abstractNumId="50">
    <w:nsid w:val="36BD41B6"/>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385E3723"/>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nsid w:val="38D15DE9"/>
    <w:multiLevelType w:val="hybridMultilevel"/>
    <w:tmpl w:val="3E2ED43C"/>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53">
    <w:nsid w:val="3957096E"/>
    <w:multiLevelType w:val="hybridMultilevel"/>
    <w:tmpl w:val="3FB0B75C"/>
    <w:lvl w:ilvl="0" w:tplc="E362A898">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nsid w:val="39A07E05"/>
    <w:multiLevelType w:val="hybridMultilevel"/>
    <w:tmpl w:val="74B0FBAC"/>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55">
    <w:nsid w:val="39DF70F8"/>
    <w:multiLevelType w:val="hybridMultilevel"/>
    <w:tmpl w:val="26F27AE2"/>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56">
    <w:nsid w:val="3BF7202F"/>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58">
    <w:nsid w:val="3E9A66AD"/>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nsid w:val="3FC70734"/>
    <w:multiLevelType w:val="hybridMultilevel"/>
    <w:tmpl w:val="22B281EE"/>
    <w:lvl w:ilvl="0" w:tplc="08090017">
      <w:start w:val="1"/>
      <w:numFmt w:val="lowerLetter"/>
      <w:lvlText w:val="%1)"/>
      <w:lvlJc w:val="left"/>
      <w:pPr>
        <w:ind w:left="2203" w:hanging="360"/>
      </w:pPr>
      <w:rPr>
        <w:rFonts w:hint="default"/>
      </w:rPr>
    </w:lvl>
    <w:lvl w:ilvl="1" w:tplc="EDDCC440">
      <w:start w:val="1"/>
      <w:numFmt w:val="bullet"/>
      <w:lvlText w:val="o"/>
      <w:lvlJc w:val="left"/>
      <w:pPr>
        <w:ind w:left="2028" w:hanging="360"/>
      </w:pPr>
      <w:rPr>
        <w:rFonts w:ascii="Courier New" w:hAnsi="Courier New" w:cs="Courier New" w:hint="default"/>
      </w:rPr>
    </w:lvl>
    <w:lvl w:ilvl="2" w:tplc="08130005">
      <w:start w:val="1"/>
      <w:numFmt w:val="bullet"/>
      <w:lvlText w:val=""/>
      <w:lvlJc w:val="left"/>
      <w:pPr>
        <w:ind w:left="2748" w:hanging="360"/>
      </w:pPr>
      <w:rPr>
        <w:rFonts w:ascii="Wingdings" w:hAnsi="Wingdings" w:hint="default"/>
      </w:rPr>
    </w:lvl>
    <w:lvl w:ilvl="3" w:tplc="08130001" w:tentative="1">
      <w:start w:val="1"/>
      <w:numFmt w:val="bullet"/>
      <w:lvlText w:val=""/>
      <w:lvlJc w:val="left"/>
      <w:pPr>
        <w:ind w:left="3468" w:hanging="360"/>
      </w:pPr>
      <w:rPr>
        <w:rFonts w:ascii="Symbol" w:hAnsi="Symbol" w:hint="default"/>
      </w:rPr>
    </w:lvl>
    <w:lvl w:ilvl="4" w:tplc="08130003" w:tentative="1">
      <w:start w:val="1"/>
      <w:numFmt w:val="bullet"/>
      <w:lvlText w:val="o"/>
      <w:lvlJc w:val="left"/>
      <w:pPr>
        <w:ind w:left="4188" w:hanging="360"/>
      </w:pPr>
      <w:rPr>
        <w:rFonts w:ascii="Courier New" w:hAnsi="Courier New" w:cs="Courier New" w:hint="default"/>
      </w:rPr>
    </w:lvl>
    <w:lvl w:ilvl="5" w:tplc="08130005" w:tentative="1">
      <w:start w:val="1"/>
      <w:numFmt w:val="bullet"/>
      <w:lvlText w:val=""/>
      <w:lvlJc w:val="left"/>
      <w:pPr>
        <w:ind w:left="4908" w:hanging="360"/>
      </w:pPr>
      <w:rPr>
        <w:rFonts w:ascii="Wingdings" w:hAnsi="Wingdings" w:hint="default"/>
      </w:rPr>
    </w:lvl>
    <w:lvl w:ilvl="6" w:tplc="08130001" w:tentative="1">
      <w:start w:val="1"/>
      <w:numFmt w:val="bullet"/>
      <w:lvlText w:val=""/>
      <w:lvlJc w:val="left"/>
      <w:pPr>
        <w:ind w:left="5628" w:hanging="360"/>
      </w:pPr>
      <w:rPr>
        <w:rFonts w:ascii="Symbol" w:hAnsi="Symbol" w:hint="default"/>
      </w:rPr>
    </w:lvl>
    <w:lvl w:ilvl="7" w:tplc="08130003" w:tentative="1">
      <w:start w:val="1"/>
      <w:numFmt w:val="bullet"/>
      <w:lvlText w:val="o"/>
      <w:lvlJc w:val="left"/>
      <w:pPr>
        <w:ind w:left="6348" w:hanging="360"/>
      </w:pPr>
      <w:rPr>
        <w:rFonts w:ascii="Courier New" w:hAnsi="Courier New" w:cs="Courier New" w:hint="default"/>
      </w:rPr>
    </w:lvl>
    <w:lvl w:ilvl="8" w:tplc="08130005" w:tentative="1">
      <w:start w:val="1"/>
      <w:numFmt w:val="bullet"/>
      <w:lvlText w:val=""/>
      <w:lvlJc w:val="left"/>
      <w:pPr>
        <w:ind w:left="7068" w:hanging="360"/>
      </w:pPr>
      <w:rPr>
        <w:rFonts w:ascii="Wingdings" w:hAnsi="Wingdings" w:hint="default"/>
      </w:rPr>
    </w:lvl>
  </w:abstractNum>
  <w:abstractNum w:abstractNumId="60">
    <w:nsid w:val="40F10D8A"/>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nsid w:val="415D5EA6"/>
    <w:multiLevelType w:val="hybridMultilevel"/>
    <w:tmpl w:val="BAD06656"/>
    <w:lvl w:ilvl="0" w:tplc="A0C2CF64">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2">
    <w:nsid w:val="424C0CB4"/>
    <w:multiLevelType w:val="hybridMultilevel"/>
    <w:tmpl w:val="1B341940"/>
    <w:lvl w:ilvl="0" w:tplc="E362A898">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nsid w:val="43991132"/>
    <w:multiLevelType w:val="hybridMultilevel"/>
    <w:tmpl w:val="3FB0B75C"/>
    <w:lvl w:ilvl="0" w:tplc="E362A898">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nsid w:val="477928BB"/>
    <w:multiLevelType w:val="hybridMultilevel"/>
    <w:tmpl w:val="3FB0B75C"/>
    <w:lvl w:ilvl="0" w:tplc="E362A898">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nsid w:val="48B10185"/>
    <w:multiLevelType w:val="hybridMultilevel"/>
    <w:tmpl w:val="8D905C3C"/>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66">
    <w:nsid w:val="4B2505D1"/>
    <w:multiLevelType w:val="hybridMultilevel"/>
    <w:tmpl w:val="3FB0B75C"/>
    <w:lvl w:ilvl="0" w:tplc="E362A898">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4C0B0C9D"/>
    <w:multiLevelType w:val="hybridMultilevel"/>
    <w:tmpl w:val="105256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8">
    <w:nsid w:val="50C02E39"/>
    <w:multiLevelType w:val="hybridMultilevel"/>
    <w:tmpl w:val="3FB0B75C"/>
    <w:lvl w:ilvl="0" w:tplc="E362A898">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nsid w:val="50C4262A"/>
    <w:multiLevelType w:val="hybridMultilevel"/>
    <w:tmpl w:val="10D4D6D0"/>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70">
    <w:nsid w:val="516A0BB8"/>
    <w:multiLevelType w:val="hybridMultilevel"/>
    <w:tmpl w:val="DBC8430E"/>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71">
    <w:nsid w:val="51AD20AE"/>
    <w:multiLevelType w:val="hybridMultilevel"/>
    <w:tmpl w:val="3FB0B75C"/>
    <w:lvl w:ilvl="0" w:tplc="E362A898">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nsid w:val="51F01BE5"/>
    <w:multiLevelType w:val="hybridMultilevel"/>
    <w:tmpl w:val="CA6E798A"/>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73">
    <w:nsid w:val="520A0254"/>
    <w:multiLevelType w:val="hybridMultilevel"/>
    <w:tmpl w:val="3FB0B75C"/>
    <w:lvl w:ilvl="0" w:tplc="E362A898">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nsid w:val="52152660"/>
    <w:multiLevelType w:val="hybridMultilevel"/>
    <w:tmpl w:val="DB8888F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5">
    <w:nsid w:val="55BB2348"/>
    <w:multiLevelType w:val="hybridMultilevel"/>
    <w:tmpl w:val="779C061A"/>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76">
    <w:nsid w:val="5767434B"/>
    <w:multiLevelType w:val="hybridMultilevel"/>
    <w:tmpl w:val="A6F0F8CC"/>
    <w:lvl w:ilvl="0" w:tplc="08090001">
      <w:start w:val="1"/>
      <w:numFmt w:val="bullet"/>
      <w:lvlText w:val=""/>
      <w:lvlJc w:val="left"/>
      <w:pPr>
        <w:ind w:left="3281" w:hanging="360"/>
      </w:pPr>
      <w:rPr>
        <w:rFonts w:ascii="Symbol" w:hAnsi="Symbol" w:hint="default"/>
      </w:rPr>
    </w:lvl>
    <w:lvl w:ilvl="1" w:tplc="08090003" w:tentative="1">
      <w:start w:val="1"/>
      <w:numFmt w:val="bullet"/>
      <w:lvlText w:val="o"/>
      <w:lvlJc w:val="left"/>
      <w:pPr>
        <w:ind w:left="4001" w:hanging="360"/>
      </w:pPr>
      <w:rPr>
        <w:rFonts w:ascii="Courier New" w:hAnsi="Courier New" w:cs="Courier New" w:hint="default"/>
      </w:rPr>
    </w:lvl>
    <w:lvl w:ilvl="2" w:tplc="08090005" w:tentative="1">
      <w:start w:val="1"/>
      <w:numFmt w:val="bullet"/>
      <w:lvlText w:val=""/>
      <w:lvlJc w:val="left"/>
      <w:pPr>
        <w:ind w:left="4721" w:hanging="360"/>
      </w:pPr>
      <w:rPr>
        <w:rFonts w:ascii="Wingdings" w:hAnsi="Wingdings" w:hint="default"/>
      </w:rPr>
    </w:lvl>
    <w:lvl w:ilvl="3" w:tplc="08090001" w:tentative="1">
      <w:start w:val="1"/>
      <w:numFmt w:val="bullet"/>
      <w:lvlText w:val=""/>
      <w:lvlJc w:val="left"/>
      <w:pPr>
        <w:ind w:left="5441" w:hanging="360"/>
      </w:pPr>
      <w:rPr>
        <w:rFonts w:ascii="Symbol" w:hAnsi="Symbol" w:hint="default"/>
      </w:rPr>
    </w:lvl>
    <w:lvl w:ilvl="4" w:tplc="08090003" w:tentative="1">
      <w:start w:val="1"/>
      <w:numFmt w:val="bullet"/>
      <w:lvlText w:val="o"/>
      <w:lvlJc w:val="left"/>
      <w:pPr>
        <w:ind w:left="6161" w:hanging="360"/>
      </w:pPr>
      <w:rPr>
        <w:rFonts w:ascii="Courier New" w:hAnsi="Courier New" w:cs="Courier New" w:hint="default"/>
      </w:rPr>
    </w:lvl>
    <w:lvl w:ilvl="5" w:tplc="08090005" w:tentative="1">
      <w:start w:val="1"/>
      <w:numFmt w:val="bullet"/>
      <w:lvlText w:val=""/>
      <w:lvlJc w:val="left"/>
      <w:pPr>
        <w:ind w:left="6881" w:hanging="360"/>
      </w:pPr>
      <w:rPr>
        <w:rFonts w:ascii="Wingdings" w:hAnsi="Wingdings" w:hint="default"/>
      </w:rPr>
    </w:lvl>
    <w:lvl w:ilvl="6" w:tplc="08090001" w:tentative="1">
      <w:start w:val="1"/>
      <w:numFmt w:val="bullet"/>
      <w:lvlText w:val=""/>
      <w:lvlJc w:val="left"/>
      <w:pPr>
        <w:ind w:left="7601" w:hanging="360"/>
      </w:pPr>
      <w:rPr>
        <w:rFonts w:ascii="Symbol" w:hAnsi="Symbol" w:hint="default"/>
      </w:rPr>
    </w:lvl>
    <w:lvl w:ilvl="7" w:tplc="08090003" w:tentative="1">
      <w:start w:val="1"/>
      <w:numFmt w:val="bullet"/>
      <w:lvlText w:val="o"/>
      <w:lvlJc w:val="left"/>
      <w:pPr>
        <w:ind w:left="8321" w:hanging="360"/>
      </w:pPr>
      <w:rPr>
        <w:rFonts w:ascii="Courier New" w:hAnsi="Courier New" w:cs="Courier New" w:hint="default"/>
      </w:rPr>
    </w:lvl>
    <w:lvl w:ilvl="8" w:tplc="08090005" w:tentative="1">
      <w:start w:val="1"/>
      <w:numFmt w:val="bullet"/>
      <w:lvlText w:val=""/>
      <w:lvlJc w:val="left"/>
      <w:pPr>
        <w:ind w:left="9041" w:hanging="360"/>
      </w:pPr>
      <w:rPr>
        <w:rFonts w:ascii="Wingdings" w:hAnsi="Wingdings" w:hint="default"/>
      </w:rPr>
    </w:lvl>
  </w:abstractNum>
  <w:abstractNum w:abstractNumId="77">
    <w:nsid w:val="57B0392A"/>
    <w:multiLevelType w:val="hybridMultilevel"/>
    <w:tmpl w:val="6FFA4B7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78">
    <w:nsid w:val="57CA2F71"/>
    <w:multiLevelType w:val="hybridMultilevel"/>
    <w:tmpl w:val="3FB0B75C"/>
    <w:lvl w:ilvl="0" w:tplc="E362A898">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nsid w:val="58CB22F3"/>
    <w:multiLevelType w:val="hybridMultilevel"/>
    <w:tmpl w:val="10D4D6D0"/>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80">
    <w:nsid w:val="592939C7"/>
    <w:multiLevelType w:val="hybridMultilevel"/>
    <w:tmpl w:val="8D905C3C"/>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81">
    <w:nsid w:val="596673B9"/>
    <w:multiLevelType w:val="hybridMultilevel"/>
    <w:tmpl w:val="3FB0B75C"/>
    <w:lvl w:ilvl="0" w:tplc="E362A898">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nsid w:val="5A8E3273"/>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nsid w:val="5B1F6E21"/>
    <w:multiLevelType w:val="hybridMultilevel"/>
    <w:tmpl w:val="82D49930"/>
    <w:lvl w:ilvl="0" w:tplc="08090001">
      <w:start w:val="1"/>
      <w:numFmt w:val="bullet"/>
      <w:lvlText w:val=""/>
      <w:lvlJc w:val="left"/>
      <w:pPr>
        <w:ind w:left="2137" w:hanging="360"/>
      </w:pPr>
      <w:rPr>
        <w:rFonts w:ascii="Symbol" w:hAnsi="Symbol" w:hint="default"/>
      </w:rPr>
    </w:lvl>
    <w:lvl w:ilvl="1" w:tplc="08090003" w:tentative="1">
      <w:start w:val="1"/>
      <w:numFmt w:val="bullet"/>
      <w:lvlText w:val="o"/>
      <w:lvlJc w:val="left"/>
      <w:pPr>
        <w:ind w:left="2857" w:hanging="360"/>
      </w:pPr>
      <w:rPr>
        <w:rFonts w:ascii="Courier New" w:hAnsi="Courier New" w:cs="Courier New" w:hint="default"/>
      </w:rPr>
    </w:lvl>
    <w:lvl w:ilvl="2" w:tplc="08090005" w:tentative="1">
      <w:start w:val="1"/>
      <w:numFmt w:val="bullet"/>
      <w:lvlText w:val=""/>
      <w:lvlJc w:val="left"/>
      <w:pPr>
        <w:ind w:left="3577" w:hanging="360"/>
      </w:pPr>
      <w:rPr>
        <w:rFonts w:ascii="Wingdings" w:hAnsi="Wingdings" w:hint="default"/>
      </w:rPr>
    </w:lvl>
    <w:lvl w:ilvl="3" w:tplc="08090001" w:tentative="1">
      <w:start w:val="1"/>
      <w:numFmt w:val="bullet"/>
      <w:lvlText w:val=""/>
      <w:lvlJc w:val="left"/>
      <w:pPr>
        <w:ind w:left="4297" w:hanging="360"/>
      </w:pPr>
      <w:rPr>
        <w:rFonts w:ascii="Symbol" w:hAnsi="Symbol" w:hint="default"/>
      </w:rPr>
    </w:lvl>
    <w:lvl w:ilvl="4" w:tplc="08090003" w:tentative="1">
      <w:start w:val="1"/>
      <w:numFmt w:val="bullet"/>
      <w:lvlText w:val="o"/>
      <w:lvlJc w:val="left"/>
      <w:pPr>
        <w:ind w:left="5017" w:hanging="360"/>
      </w:pPr>
      <w:rPr>
        <w:rFonts w:ascii="Courier New" w:hAnsi="Courier New" w:cs="Courier New" w:hint="default"/>
      </w:rPr>
    </w:lvl>
    <w:lvl w:ilvl="5" w:tplc="08090005" w:tentative="1">
      <w:start w:val="1"/>
      <w:numFmt w:val="bullet"/>
      <w:lvlText w:val=""/>
      <w:lvlJc w:val="left"/>
      <w:pPr>
        <w:ind w:left="5737" w:hanging="360"/>
      </w:pPr>
      <w:rPr>
        <w:rFonts w:ascii="Wingdings" w:hAnsi="Wingdings" w:hint="default"/>
      </w:rPr>
    </w:lvl>
    <w:lvl w:ilvl="6" w:tplc="08090001" w:tentative="1">
      <w:start w:val="1"/>
      <w:numFmt w:val="bullet"/>
      <w:lvlText w:val=""/>
      <w:lvlJc w:val="left"/>
      <w:pPr>
        <w:ind w:left="6457" w:hanging="360"/>
      </w:pPr>
      <w:rPr>
        <w:rFonts w:ascii="Symbol" w:hAnsi="Symbol" w:hint="default"/>
      </w:rPr>
    </w:lvl>
    <w:lvl w:ilvl="7" w:tplc="08090003" w:tentative="1">
      <w:start w:val="1"/>
      <w:numFmt w:val="bullet"/>
      <w:lvlText w:val="o"/>
      <w:lvlJc w:val="left"/>
      <w:pPr>
        <w:ind w:left="7177" w:hanging="360"/>
      </w:pPr>
      <w:rPr>
        <w:rFonts w:ascii="Courier New" w:hAnsi="Courier New" w:cs="Courier New" w:hint="default"/>
      </w:rPr>
    </w:lvl>
    <w:lvl w:ilvl="8" w:tplc="08090005" w:tentative="1">
      <w:start w:val="1"/>
      <w:numFmt w:val="bullet"/>
      <w:lvlText w:val=""/>
      <w:lvlJc w:val="left"/>
      <w:pPr>
        <w:ind w:left="7897" w:hanging="360"/>
      </w:pPr>
      <w:rPr>
        <w:rFonts w:ascii="Wingdings" w:hAnsi="Wingdings" w:hint="default"/>
      </w:rPr>
    </w:lvl>
  </w:abstractNum>
  <w:abstractNum w:abstractNumId="84">
    <w:nsid w:val="5C2B222A"/>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nsid w:val="5EA36AE3"/>
    <w:multiLevelType w:val="hybridMultilevel"/>
    <w:tmpl w:val="2CB6D012"/>
    <w:lvl w:ilvl="0" w:tplc="434AE5A0">
      <w:start w:val="1"/>
      <w:numFmt w:val="bullet"/>
      <w:pStyle w:val="Lijstje2"/>
      <w:lvlText w:val=""/>
      <w:lvlJc w:val="left"/>
      <w:pPr>
        <w:ind w:left="2771" w:hanging="360"/>
      </w:pPr>
      <w:rPr>
        <w:rFonts w:ascii="Symbol" w:hAnsi="Symbol" w:hint="default"/>
        <w:sz w:val="20"/>
        <w:szCs w:val="20"/>
      </w:rPr>
    </w:lvl>
    <w:lvl w:ilvl="1" w:tplc="08090003">
      <w:start w:val="1"/>
      <w:numFmt w:val="bullet"/>
      <w:lvlText w:val="o"/>
      <w:lvlJc w:val="left"/>
      <w:pPr>
        <w:ind w:left="1800" w:hanging="360"/>
      </w:pPr>
      <w:rPr>
        <w:rFonts w:ascii="Courier New" w:hAnsi="Courier New" w:cs="Courier New" w:hint="default"/>
      </w:rPr>
    </w:lvl>
    <w:lvl w:ilvl="2" w:tplc="F38E26EC">
      <w:start w:val="1"/>
      <w:numFmt w:val="bullet"/>
      <w:lvlText w:val="o"/>
      <w:lvlJc w:val="left"/>
      <w:pPr>
        <w:ind w:left="2520" w:hanging="360"/>
      </w:pPr>
      <w:rPr>
        <w:rFonts w:ascii="Courier New" w:hAnsi="Courier New" w:cs="Courier New" w:hint="default"/>
        <w:sz w:val="18"/>
        <w:szCs w:val="18"/>
      </w:rPr>
    </w:lvl>
    <w:lvl w:ilvl="3" w:tplc="08130001" w:tentative="1">
      <w:start w:val="1"/>
      <w:numFmt w:val="bullet"/>
      <w:lvlText w:val=""/>
      <w:lvlJc w:val="left"/>
      <w:pPr>
        <w:ind w:left="3240" w:hanging="360"/>
      </w:pPr>
      <w:rPr>
        <w:rFonts w:ascii="Symbol" w:hAnsi="Symbol" w:hint="default"/>
      </w:rPr>
    </w:lvl>
    <w:lvl w:ilvl="4" w:tplc="08130003">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86">
    <w:nsid w:val="5F3253F2"/>
    <w:multiLevelType w:val="hybridMultilevel"/>
    <w:tmpl w:val="262E3BF2"/>
    <w:lvl w:ilvl="0" w:tplc="5054180C">
      <w:start w:val="1"/>
      <w:numFmt w:val="upperRoman"/>
      <w:pStyle w:val="AnnualReport1"/>
      <w:lvlText w:val="%1."/>
      <w:lvlJc w:val="right"/>
      <w:pPr>
        <w:ind w:left="360" w:hanging="360"/>
      </w:pPr>
    </w:lvl>
    <w:lvl w:ilvl="1" w:tplc="08130019">
      <w:start w:val="1"/>
      <w:numFmt w:val="lowerLetter"/>
      <w:lvlText w:val="%2."/>
      <w:lvlJc w:val="left"/>
      <w:pPr>
        <w:ind w:left="1080" w:hanging="360"/>
      </w:pPr>
    </w:lvl>
    <w:lvl w:ilvl="2" w:tplc="15F4AD9C">
      <w:start w:val="1"/>
      <w:numFmt w:val="decimal"/>
      <w:pStyle w:val="Subtitle"/>
      <w:lvlText w:val="%3."/>
      <w:lvlJc w:val="left"/>
      <w:pPr>
        <w:ind w:left="1980" w:hanging="360"/>
      </w:pPr>
      <w:rPr>
        <w:rFonts w:hint="default"/>
      </w:r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87">
    <w:nsid w:val="60126A48"/>
    <w:multiLevelType w:val="hybridMultilevel"/>
    <w:tmpl w:val="2B32873A"/>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88">
    <w:nsid w:val="61123460"/>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63DB09E5"/>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nsid w:val="658A1F67"/>
    <w:multiLevelType w:val="multilevel"/>
    <w:tmpl w:val="C5481260"/>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nsid w:val="66A92F84"/>
    <w:multiLevelType w:val="hybridMultilevel"/>
    <w:tmpl w:val="13643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nsid w:val="678640C3"/>
    <w:multiLevelType w:val="hybridMultilevel"/>
    <w:tmpl w:val="8D905C3C"/>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93">
    <w:nsid w:val="69C60D4F"/>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nsid w:val="69C74045"/>
    <w:multiLevelType w:val="hybridMultilevel"/>
    <w:tmpl w:val="66E2427E"/>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95">
    <w:nsid w:val="6ACD0708"/>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nsid w:val="6AFB60A6"/>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nsid w:val="6B7076B6"/>
    <w:multiLevelType w:val="hybridMultilevel"/>
    <w:tmpl w:val="EFEA7F0A"/>
    <w:lvl w:ilvl="0" w:tplc="08090019">
      <w:start w:val="1"/>
      <w:numFmt w:val="lowerLetter"/>
      <w:lvlText w:val="%1."/>
      <w:lvlJc w:val="left"/>
      <w:pPr>
        <w:ind w:left="2771" w:hanging="360"/>
      </w:pPr>
      <w:rPr>
        <w:rFonts w:hint="default"/>
        <w:sz w:val="20"/>
        <w:szCs w:val="20"/>
      </w:rPr>
    </w:lvl>
    <w:lvl w:ilvl="1" w:tplc="08090003">
      <w:start w:val="1"/>
      <w:numFmt w:val="bullet"/>
      <w:lvlText w:val="o"/>
      <w:lvlJc w:val="left"/>
      <w:pPr>
        <w:ind w:left="1800" w:hanging="360"/>
      </w:pPr>
      <w:rPr>
        <w:rFonts w:ascii="Courier New" w:hAnsi="Courier New" w:cs="Courier New" w:hint="default"/>
      </w:rPr>
    </w:lvl>
    <w:lvl w:ilvl="2" w:tplc="F38E26EC">
      <w:start w:val="1"/>
      <w:numFmt w:val="bullet"/>
      <w:lvlText w:val="o"/>
      <w:lvlJc w:val="left"/>
      <w:pPr>
        <w:ind w:left="2520" w:hanging="360"/>
      </w:pPr>
      <w:rPr>
        <w:rFonts w:ascii="Courier New" w:hAnsi="Courier New" w:cs="Courier New" w:hint="default"/>
        <w:sz w:val="18"/>
        <w:szCs w:val="18"/>
      </w:rPr>
    </w:lvl>
    <w:lvl w:ilvl="3" w:tplc="08130001" w:tentative="1">
      <w:start w:val="1"/>
      <w:numFmt w:val="bullet"/>
      <w:lvlText w:val=""/>
      <w:lvlJc w:val="left"/>
      <w:pPr>
        <w:ind w:left="3240" w:hanging="360"/>
      </w:pPr>
      <w:rPr>
        <w:rFonts w:ascii="Symbol" w:hAnsi="Symbol" w:hint="default"/>
      </w:rPr>
    </w:lvl>
    <w:lvl w:ilvl="4" w:tplc="08130003">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98">
    <w:nsid w:val="6DCD1832"/>
    <w:multiLevelType w:val="hybridMultilevel"/>
    <w:tmpl w:val="3FB0B75C"/>
    <w:lvl w:ilvl="0" w:tplc="E362A898">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nsid w:val="6E156DEB"/>
    <w:multiLevelType w:val="hybridMultilevel"/>
    <w:tmpl w:val="8BACE73E"/>
    <w:lvl w:ilvl="0" w:tplc="08090001">
      <w:start w:val="1"/>
      <w:numFmt w:val="bullet"/>
      <w:lvlText w:val=""/>
      <w:lvlJc w:val="left"/>
      <w:pPr>
        <w:ind w:left="1069" w:hanging="360"/>
      </w:pPr>
      <w:rPr>
        <w:rFonts w:ascii="Symbol" w:hAnsi="Symbol" w:hint="default"/>
      </w:rPr>
    </w:lvl>
    <w:lvl w:ilvl="1" w:tplc="F57E9A40">
      <w:start w:val="1"/>
      <w:numFmt w:val="bullet"/>
      <w:lvlText w:val="o"/>
      <w:lvlJc w:val="left"/>
      <w:pPr>
        <w:ind w:left="1789" w:hanging="360"/>
      </w:pPr>
      <w:rPr>
        <w:rFonts w:ascii="Courier New" w:hAnsi="Courier New" w:cs="Courier New" w:hint="default"/>
        <w:sz w:val="20"/>
        <w:szCs w:val="20"/>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00">
    <w:nsid w:val="6E9064CA"/>
    <w:multiLevelType w:val="hybridMultilevel"/>
    <w:tmpl w:val="50AE9214"/>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01">
    <w:nsid w:val="6F8767E3"/>
    <w:multiLevelType w:val="hybridMultilevel"/>
    <w:tmpl w:val="5D0A9DD0"/>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02">
    <w:nsid w:val="6FBB3A0C"/>
    <w:multiLevelType w:val="hybridMultilevel"/>
    <w:tmpl w:val="10D4D6D0"/>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03">
    <w:nsid w:val="6FD47019"/>
    <w:multiLevelType w:val="hybridMultilevel"/>
    <w:tmpl w:val="3FB0B75C"/>
    <w:lvl w:ilvl="0" w:tplc="E362A898">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nsid w:val="701C2849"/>
    <w:multiLevelType w:val="hybridMultilevel"/>
    <w:tmpl w:val="70D8AACE"/>
    <w:lvl w:ilvl="0" w:tplc="0809001B">
      <w:start w:val="1"/>
      <w:numFmt w:val="lowerRoman"/>
      <w:lvlText w:val="%1."/>
      <w:lvlJc w:val="right"/>
      <w:pPr>
        <w:ind w:left="2520" w:hanging="360"/>
      </w:pPr>
      <w:rPr>
        <w:rFonts w:hint="default"/>
      </w:rPr>
    </w:lvl>
    <w:lvl w:ilvl="1" w:tplc="EDDCC440">
      <w:start w:val="1"/>
      <w:numFmt w:val="bullet"/>
      <w:lvlText w:val="o"/>
      <w:lvlJc w:val="left"/>
      <w:pPr>
        <w:ind w:left="2345" w:hanging="360"/>
      </w:pPr>
      <w:rPr>
        <w:rFonts w:ascii="Courier New" w:hAnsi="Courier New" w:cs="Courier New" w:hint="default"/>
      </w:rPr>
    </w:lvl>
    <w:lvl w:ilvl="2" w:tplc="08130005">
      <w:start w:val="1"/>
      <w:numFmt w:val="bullet"/>
      <w:lvlText w:val=""/>
      <w:lvlJc w:val="left"/>
      <w:pPr>
        <w:ind w:left="3065" w:hanging="360"/>
      </w:pPr>
      <w:rPr>
        <w:rFonts w:ascii="Wingdings" w:hAnsi="Wingdings" w:hint="default"/>
      </w:rPr>
    </w:lvl>
    <w:lvl w:ilvl="3" w:tplc="08130001" w:tentative="1">
      <w:start w:val="1"/>
      <w:numFmt w:val="bullet"/>
      <w:lvlText w:val=""/>
      <w:lvlJc w:val="left"/>
      <w:pPr>
        <w:ind w:left="3785" w:hanging="360"/>
      </w:pPr>
      <w:rPr>
        <w:rFonts w:ascii="Symbol" w:hAnsi="Symbol" w:hint="default"/>
      </w:rPr>
    </w:lvl>
    <w:lvl w:ilvl="4" w:tplc="08130003" w:tentative="1">
      <w:start w:val="1"/>
      <w:numFmt w:val="bullet"/>
      <w:lvlText w:val="o"/>
      <w:lvlJc w:val="left"/>
      <w:pPr>
        <w:ind w:left="4505" w:hanging="360"/>
      </w:pPr>
      <w:rPr>
        <w:rFonts w:ascii="Courier New" w:hAnsi="Courier New" w:cs="Courier New" w:hint="default"/>
      </w:rPr>
    </w:lvl>
    <w:lvl w:ilvl="5" w:tplc="08130005" w:tentative="1">
      <w:start w:val="1"/>
      <w:numFmt w:val="bullet"/>
      <w:lvlText w:val=""/>
      <w:lvlJc w:val="left"/>
      <w:pPr>
        <w:ind w:left="5225" w:hanging="360"/>
      </w:pPr>
      <w:rPr>
        <w:rFonts w:ascii="Wingdings" w:hAnsi="Wingdings" w:hint="default"/>
      </w:rPr>
    </w:lvl>
    <w:lvl w:ilvl="6" w:tplc="08130001" w:tentative="1">
      <w:start w:val="1"/>
      <w:numFmt w:val="bullet"/>
      <w:lvlText w:val=""/>
      <w:lvlJc w:val="left"/>
      <w:pPr>
        <w:ind w:left="5945" w:hanging="360"/>
      </w:pPr>
      <w:rPr>
        <w:rFonts w:ascii="Symbol" w:hAnsi="Symbol" w:hint="default"/>
      </w:rPr>
    </w:lvl>
    <w:lvl w:ilvl="7" w:tplc="08130003" w:tentative="1">
      <w:start w:val="1"/>
      <w:numFmt w:val="bullet"/>
      <w:lvlText w:val="o"/>
      <w:lvlJc w:val="left"/>
      <w:pPr>
        <w:ind w:left="6665" w:hanging="360"/>
      </w:pPr>
      <w:rPr>
        <w:rFonts w:ascii="Courier New" w:hAnsi="Courier New" w:cs="Courier New" w:hint="default"/>
      </w:rPr>
    </w:lvl>
    <w:lvl w:ilvl="8" w:tplc="08130005" w:tentative="1">
      <w:start w:val="1"/>
      <w:numFmt w:val="bullet"/>
      <w:lvlText w:val=""/>
      <w:lvlJc w:val="left"/>
      <w:pPr>
        <w:ind w:left="7385" w:hanging="360"/>
      </w:pPr>
      <w:rPr>
        <w:rFonts w:ascii="Wingdings" w:hAnsi="Wingdings" w:hint="default"/>
      </w:rPr>
    </w:lvl>
  </w:abstractNum>
  <w:abstractNum w:abstractNumId="105">
    <w:nsid w:val="70467182"/>
    <w:multiLevelType w:val="hybridMultilevel"/>
    <w:tmpl w:val="9F7CC04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6">
    <w:nsid w:val="716A3D72"/>
    <w:multiLevelType w:val="hybridMultilevel"/>
    <w:tmpl w:val="3FB0B75C"/>
    <w:lvl w:ilvl="0" w:tplc="E362A898">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nsid w:val="7243554A"/>
    <w:multiLevelType w:val="hybridMultilevel"/>
    <w:tmpl w:val="1B341940"/>
    <w:lvl w:ilvl="0" w:tplc="E362A898">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nsid w:val="734E499E"/>
    <w:multiLevelType w:val="hybridMultilevel"/>
    <w:tmpl w:val="014E7A08"/>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09">
    <w:nsid w:val="74314B4C"/>
    <w:multiLevelType w:val="hybridMultilevel"/>
    <w:tmpl w:val="D44E4A7E"/>
    <w:lvl w:ilvl="0" w:tplc="666CA6D0">
      <w:start w:val="1"/>
      <w:numFmt w:val="lowerLetter"/>
      <w:lvlText w:val="%1)"/>
      <w:lvlJc w:val="left"/>
      <w:pPr>
        <w:ind w:left="1845" w:hanging="705"/>
      </w:pPr>
      <w:rPr>
        <w:rFonts w:ascii="Arial" w:hAnsi="Arial" w:cs="Arial" w:hint="default"/>
      </w:rPr>
    </w:lvl>
    <w:lvl w:ilvl="1" w:tplc="08130019">
      <w:start w:val="1"/>
      <w:numFmt w:val="lowerLetter"/>
      <w:lvlText w:val="%2."/>
      <w:lvlJc w:val="left"/>
      <w:pPr>
        <w:ind w:left="2220" w:hanging="360"/>
      </w:pPr>
    </w:lvl>
    <w:lvl w:ilvl="2" w:tplc="0813001B" w:tentative="1">
      <w:start w:val="1"/>
      <w:numFmt w:val="lowerRoman"/>
      <w:lvlText w:val="%3."/>
      <w:lvlJc w:val="right"/>
      <w:pPr>
        <w:ind w:left="2940" w:hanging="180"/>
      </w:pPr>
    </w:lvl>
    <w:lvl w:ilvl="3" w:tplc="0813000F" w:tentative="1">
      <w:start w:val="1"/>
      <w:numFmt w:val="decimal"/>
      <w:lvlText w:val="%4."/>
      <w:lvlJc w:val="left"/>
      <w:pPr>
        <w:ind w:left="3660" w:hanging="360"/>
      </w:pPr>
    </w:lvl>
    <w:lvl w:ilvl="4" w:tplc="08130019" w:tentative="1">
      <w:start w:val="1"/>
      <w:numFmt w:val="lowerLetter"/>
      <w:lvlText w:val="%5."/>
      <w:lvlJc w:val="left"/>
      <w:pPr>
        <w:ind w:left="4380" w:hanging="360"/>
      </w:pPr>
    </w:lvl>
    <w:lvl w:ilvl="5" w:tplc="0813001B" w:tentative="1">
      <w:start w:val="1"/>
      <w:numFmt w:val="lowerRoman"/>
      <w:lvlText w:val="%6."/>
      <w:lvlJc w:val="right"/>
      <w:pPr>
        <w:ind w:left="5100" w:hanging="180"/>
      </w:pPr>
    </w:lvl>
    <w:lvl w:ilvl="6" w:tplc="0813000F" w:tentative="1">
      <w:start w:val="1"/>
      <w:numFmt w:val="decimal"/>
      <w:lvlText w:val="%7."/>
      <w:lvlJc w:val="left"/>
      <w:pPr>
        <w:ind w:left="5820" w:hanging="360"/>
      </w:pPr>
    </w:lvl>
    <w:lvl w:ilvl="7" w:tplc="08130019" w:tentative="1">
      <w:start w:val="1"/>
      <w:numFmt w:val="lowerLetter"/>
      <w:lvlText w:val="%8."/>
      <w:lvlJc w:val="left"/>
      <w:pPr>
        <w:ind w:left="6540" w:hanging="360"/>
      </w:pPr>
    </w:lvl>
    <w:lvl w:ilvl="8" w:tplc="0813001B" w:tentative="1">
      <w:start w:val="1"/>
      <w:numFmt w:val="lowerRoman"/>
      <w:lvlText w:val="%9."/>
      <w:lvlJc w:val="right"/>
      <w:pPr>
        <w:ind w:left="7260" w:hanging="180"/>
      </w:pPr>
    </w:lvl>
  </w:abstractNum>
  <w:abstractNum w:abstractNumId="110">
    <w:nsid w:val="75FE575F"/>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nsid w:val="76B84426"/>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nsid w:val="7750790E"/>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nsid w:val="77F536FD"/>
    <w:multiLevelType w:val="hybridMultilevel"/>
    <w:tmpl w:val="81E0DA8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14">
    <w:nsid w:val="7A2D753A"/>
    <w:multiLevelType w:val="hybridMultilevel"/>
    <w:tmpl w:val="1B341940"/>
    <w:lvl w:ilvl="0" w:tplc="E362A898">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7AAE2984"/>
    <w:multiLevelType w:val="hybridMultilevel"/>
    <w:tmpl w:val="10D4D6D0"/>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num w:numId="1">
    <w:abstractNumId w:val="86"/>
  </w:num>
  <w:num w:numId="2">
    <w:abstractNumId w:val="85"/>
  </w:num>
  <w:num w:numId="3">
    <w:abstractNumId w:val="86"/>
    <w:lvlOverride w:ilvl="0">
      <w:startOverride w:val="1"/>
    </w:lvlOverride>
  </w:num>
  <w:num w:numId="4">
    <w:abstractNumId w:val="22"/>
    <w:lvlOverride w:ilvl="0">
      <w:startOverride w:val="1"/>
    </w:lvlOverride>
  </w:num>
  <w:num w:numId="5">
    <w:abstractNumId w:val="86"/>
    <w:lvlOverride w:ilvl="0">
      <w:startOverride w:val="1"/>
    </w:lvlOverride>
  </w:num>
  <w:num w:numId="6">
    <w:abstractNumId w:val="86"/>
    <w:lvlOverride w:ilvl="0">
      <w:startOverride w:val="1"/>
    </w:lvlOverride>
  </w:num>
  <w:num w:numId="7">
    <w:abstractNumId w:val="86"/>
    <w:lvlOverride w:ilvl="0">
      <w:startOverride w:val="1"/>
    </w:lvlOverride>
  </w:num>
  <w:num w:numId="8">
    <w:abstractNumId w:val="57"/>
  </w:num>
  <w:num w:numId="9">
    <w:abstractNumId w:val="22"/>
    <w:lvlOverride w:ilvl="0">
      <w:startOverride w:val="1"/>
    </w:lvlOverride>
  </w:num>
  <w:num w:numId="10">
    <w:abstractNumId w:val="22"/>
    <w:lvlOverride w:ilvl="0">
      <w:startOverride w:val="1"/>
    </w:lvlOverride>
  </w:num>
  <w:num w:numId="11">
    <w:abstractNumId w:val="22"/>
    <w:lvlOverride w:ilvl="0">
      <w:startOverride w:val="1"/>
    </w:lvlOverride>
  </w:num>
  <w:num w:numId="12">
    <w:abstractNumId w:val="22"/>
    <w:lvlOverride w:ilvl="0">
      <w:startOverride w:val="1"/>
    </w:lvlOverride>
  </w:num>
  <w:num w:numId="13">
    <w:abstractNumId w:val="91"/>
  </w:num>
  <w:num w:numId="14">
    <w:abstractNumId w:val="90"/>
  </w:num>
  <w:num w:numId="15">
    <w:abstractNumId w:val="29"/>
  </w:num>
  <w:num w:numId="16">
    <w:abstractNumId w:val="86"/>
    <w:lvlOverride w:ilvl="0">
      <w:startOverride w:val="1"/>
    </w:lvlOverride>
  </w:num>
  <w:num w:numId="17">
    <w:abstractNumId w:val="86"/>
    <w:lvlOverride w:ilvl="0">
      <w:startOverride w:val="1"/>
    </w:lvlOverride>
  </w:num>
  <w:num w:numId="18">
    <w:abstractNumId w:val="86"/>
    <w:lvlOverride w:ilvl="0">
      <w:startOverride w:val="1"/>
    </w:lvlOverride>
  </w:num>
  <w:num w:numId="19">
    <w:abstractNumId w:val="22"/>
    <w:lvlOverride w:ilvl="0">
      <w:startOverride w:val="1"/>
    </w:lvlOverride>
  </w:num>
  <w:num w:numId="20">
    <w:abstractNumId w:val="22"/>
    <w:lvlOverride w:ilvl="0">
      <w:startOverride w:val="1"/>
    </w:lvlOverride>
  </w:num>
  <w:num w:numId="21">
    <w:abstractNumId w:val="22"/>
    <w:lvlOverride w:ilvl="0">
      <w:startOverride w:val="1"/>
    </w:lvlOverride>
  </w:num>
  <w:num w:numId="22">
    <w:abstractNumId w:val="22"/>
    <w:lvlOverride w:ilvl="0">
      <w:startOverride w:val="1"/>
    </w:lvlOverride>
  </w:num>
  <w:num w:numId="23">
    <w:abstractNumId w:val="22"/>
    <w:lvlOverride w:ilvl="0">
      <w:startOverride w:val="1"/>
    </w:lvlOverride>
  </w:num>
  <w:num w:numId="24">
    <w:abstractNumId w:val="86"/>
    <w:lvlOverride w:ilvl="0">
      <w:startOverride w:val="1"/>
    </w:lvlOverride>
  </w:num>
  <w:num w:numId="25">
    <w:abstractNumId w:val="22"/>
    <w:lvlOverride w:ilvl="0">
      <w:startOverride w:val="1"/>
    </w:lvlOverride>
  </w:num>
  <w:num w:numId="26">
    <w:abstractNumId w:val="86"/>
    <w:lvlOverride w:ilvl="0">
      <w:startOverride w:val="1"/>
    </w:lvlOverride>
  </w:num>
  <w:num w:numId="27">
    <w:abstractNumId w:val="22"/>
    <w:lvlOverride w:ilvl="0">
      <w:startOverride w:val="1"/>
    </w:lvlOverride>
  </w:num>
  <w:num w:numId="28">
    <w:abstractNumId w:val="22"/>
    <w:lvlOverride w:ilvl="0">
      <w:startOverride w:val="1"/>
    </w:lvlOverride>
  </w:num>
  <w:num w:numId="29">
    <w:abstractNumId w:val="86"/>
    <w:lvlOverride w:ilvl="0">
      <w:startOverride w:val="1"/>
    </w:lvlOverride>
  </w:num>
  <w:num w:numId="30">
    <w:abstractNumId w:val="22"/>
    <w:lvlOverride w:ilvl="0">
      <w:startOverride w:val="1"/>
    </w:lvlOverride>
  </w:num>
  <w:num w:numId="31">
    <w:abstractNumId w:val="49"/>
  </w:num>
  <w:num w:numId="32">
    <w:abstractNumId w:val="27"/>
  </w:num>
  <w:num w:numId="33">
    <w:abstractNumId w:val="24"/>
  </w:num>
  <w:num w:numId="34">
    <w:abstractNumId w:val="37"/>
  </w:num>
  <w:num w:numId="35">
    <w:abstractNumId w:val="99"/>
  </w:num>
  <w:num w:numId="36">
    <w:abstractNumId w:val="86"/>
    <w:lvlOverride w:ilvl="0">
      <w:startOverride w:val="1"/>
    </w:lvlOverride>
  </w:num>
  <w:num w:numId="37">
    <w:abstractNumId w:val="22"/>
    <w:lvlOverride w:ilvl="0">
      <w:startOverride w:val="1"/>
    </w:lvlOverride>
  </w:num>
  <w:num w:numId="38">
    <w:abstractNumId w:val="22"/>
    <w:lvlOverride w:ilvl="0">
      <w:startOverride w:val="1"/>
    </w:lvlOverride>
  </w:num>
  <w:num w:numId="39">
    <w:abstractNumId w:val="22"/>
    <w:lvlOverride w:ilvl="0">
      <w:startOverride w:val="1"/>
    </w:lvlOverride>
  </w:num>
  <w:num w:numId="40">
    <w:abstractNumId w:val="86"/>
    <w:lvlOverride w:ilvl="0">
      <w:startOverride w:val="1"/>
    </w:lvlOverride>
  </w:num>
  <w:num w:numId="41">
    <w:abstractNumId w:val="22"/>
    <w:lvlOverride w:ilvl="0">
      <w:startOverride w:val="1"/>
    </w:lvlOverride>
  </w:num>
  <w:num w:numId="42">
    <w:abstractNumId w:val="86"/>
    <w:lvlOverride w:ilvl="0">
      <w:startOverride w:val="1"/>
    </w:lvlOverride>
  </w:num>
  <w:num w:numId="43">
    <w:abstractNumId w:val="22"/>
    <w:lvlOverride w:ilvl="0">
      <w:startOverride w:val="1"/>
    </w:lvlOverride>
  </w:num>
  <w:num w:numId="44">
    <w:abstractNumId w:val="86"/>
    <w:lvlOverride w:ilvl="0">
      <w:startOverride w:val="1"/>
    </w:lvlOverride>
  </w:num>
  <w:num w:numId="45">
    <w:abstractNumId w:val="22"/>
    <w:lvlOverride w:ilvl="0">
      <w:startOverride w:val="1"/>
    </w:lvlOverride>
  </w:num>
  <w:num w:numId="46">
    <w:abstractNumId w:val="86"/>
    <w:lvlOverride w:ilvl="0">
      <w:startOverride w:val="1"/>
    </w:lvlOverride>
  </w:num>
  <w:num w:numId="47">
    <w:abstractNumId w:val="22"/>
    <w:lvlOverride w:ilvl="0">
      <w:startOverride w:val="1"/>
    </w:lvlOverride>
  </w:num>
  <w:num w:numId="48">
    <w:abstractNumId w:val="86"/>
    <w:lvlOverride w:ilvl="0">
      <w:startOverride w:val="1"/>
    </w:lvlOverride>
  </w:num>
  <w:num w:numId="49">
    <w:abstractNumId w:val="86"/>
    <w:lvlOverride w:ilvl="0">
      <w:startOverride w:val="1"/>
    </w:lvlOverride>
  </w:num>
  <w:num w:numId="50">
    <w:abstractNumId w:val="22"/>
    <w:lvlOverride w:ilvl="0">
      <w:startOverride w:val="1"/>
    </w:lvlOverride>
  </w:num>
  <w:num w:numId="51">
    <w:abstractNumId w:val="86"/>
    <w:lvlOverride w:ilvl="0">
      <w:startOverride w:val="1"/>
    </w:lvlOverride>
  </w:num>
  <w:num w:numId="52">
    <w:abstractNumId w:val="22"/>
    <w:lvlOverride w:ilvl="0">
      <w:startOverride w:val="1"/>
    </w:lvlOverride>
  </w:num>
  <w:num w:numId="53">
    <w:abstractNumId w:val="86"/>
    <w:lvlOverride w:ilvl="0">
      <w:startOverride w:val="1"/>
    </w:lvlOverride>
  </w:num>
  <w:num w:numId="54">
    <w:abstractNumId w:val="22"/>
    <w:lvlOverride w:ilvl="0">
      <w:startOverride w:val="1"/>
    </w:lvlOverride>
  </w:num>
  <w:num w:numId="55">
    <w:abstractNumId w:val="86"/>
    <w:lvlOverride w:ilvl="0">
      <w:startOverride w:val="1"/>
    </w:lvlOverride>
  </w:num>
  <w:num w:numId="56">
    <w:abstractNumId w:val="22"/>
    <w:lvlOverride w:ilvl="0">
      <w:startOverride w:val="1"/>
    </w:lvlOverride>
  </w:num>
  <w:num w:numId="57">
    <w:abstractNumId w:val="86"/>
    <w:lvlOverride w:ilvl="0">
      <w:startOverride w:val="1"/>
    </w:lvlOverride>
  </w:num>
  <w:num w:numId="58">
    <w:abstractNumId w:val="22"/>
    <w:lvlOverride w:ilvl="0">
      <w:startOverride w:val="1"/>
    </w:lvlOverride>
  </w:num>
  <w:num w:numId="59">
    <w:abstractNumId w:val="86"/>
    <w:lvlOverride w:ilvl="0">
      <w:startOverride w:val="1"/>
    </w:lvlOverride>
  </w:num>
  <w:num w:numId="60">
    <w:abstractNumId w:val="22"/>
    <w:lvlOverride w:ilvl="0">
      <w:startOverride w:val="1"/>
    </w:lvlOverride>
  </w:num>
  <w:num w:numId="61">
    <w:abstractNumId w:val="4"/>
  </w:num>
  <w:num w:numId="62">
    <w:abstractNumId w:val="12"/>
  </w:num>
  <w:num w:numId="63">
    <w:abstractNumId w:val="46"/>
    <w:lvlOverride w:ilvl="0">
      <w:startOverride w:val="1"/>
    </w:lvlOverride>
  </w:num>
  <w:num w:numId="64">
    <w:abstractNumId w:val="46"/>
    <w:lvlOverride w:ilvl="0">
      <w:startOverride w:val="1"/>
    </w:lvlOverride>
  </w:num>
  <w:num w:numId="65">
    <w:abstractNumId w:val="46"/>
    <w:lvlOverride w:ilvl="0">
      <w:startOverride w:val="1"/>
    </w:lvlOverride>
  </w:num>
  <w:num w:numId="66">
    <w:abstractNumId w:val="46"/>
    <w:lvlOverride w:ilvl="0">
      <w:startOverride w:val="1"/>
    </w:lvlOverride>
  </w:num>
  <w:num w:numId="67">
    <w:abstractNumId w:val="46"/>
    <w:lvlOverride w:ilvl="0">
      <w:startOverride w:val="1"/>
    </w:lvlOverride>
  </w:num>
  <w:num w:numId="68">
    <w:abstractNumId w:val="46"/>
    <w:lvlOverride w:ilvl="0">
      <w:startOverride w:val="1"/>
    </w:lvlOverride>
  </w:num>
  <w:num w:numId="69">
    <w:abstractNumId w:val="46"/>
    <w:lvlOverride w:ilvl="0">
      <w:startOverride w:val="1"/>
    </w:lvlOverride>
  </w:num>
  <w:num w:numId="70">
    <w:abstractNumId w:val="46"/>
    <w:lvlOverride w:ilvl="0">
      <w:startOverride w:val="1"/>
    </w:lvlOverride>
  </w:num>
  <w:num w:numId="71">
    <w:abstractNumId w:val="46"/>
    <w:lvlOverride w:ilvl="0">
      <w:startOverride w:val="1"/>
    </w:lvlOverride>
  </w:num>
  <w:num w:numId="72">
    <w:abstractNumId w:val="46"/>
    <w:lvlOverride w:ilvl="0">
      <w:startOverride w:val="1"/>
    </w:lvlOverride>
  </w:num>
  <w:num w:numId="73">
    <w:abstractNumId w:val="46"/>
    <w:lvlOverride w:ilvl="0">
      <w:startOverride w:val="1"/>
    </w:lvlOverride>
  </w:num>
  <w:num w:numId="74">
    <w:abstractNumId w:val="46"/>
    <w:lvlOverride w:ilvl="0">
      <w:startOverride w:val="1"/>
    </w:lvlOverride>
  </w:num>
  <w:num w:numId="75">
    <w:abstractNumId w:val="46"/>
    <w:lvlOverride w:ilvl="0">
      <w:startOverride w:val="1"/>
    </w:lvlOverride>
  </w:num>
  <w:num w:numId="76">
    <w:abstractNumId w:val="46"/>
    <w:lvlOverride w:ilvl="0">
      <w:startOverride w:val="1"/>
    </w:lvlOverride>
  </w:num>
  <w:num w:numId="77">
    <w:abstractNumId w:val="46"/>
    <w:lvlOverride w:ilvl="0">
      <w:startOverride w:val="1"/>
    </w:lvlOverride>
  </w:num>
  <w:num w:numId="78">
    <w:abstractNumId w:val="46"/>
    <w:lvlOverride w:ilvl="0">
      <w:startOverride w:val="1"/>
    </w:lvlOverride>
  </w:num>
  <w:num w:numId="79">
    <w:abstractNumId w:val="46"/>
    <w:lvlOverride w:ilvl="0">
      <w:startOverride w:val="1"/>
    </w:lvlOverride>
  </w:num>
  <w:num w:numId="80">
    <w:abstractNumId w:val="46"/>
    <w:lvlOverride w:ilvl="0">
      <w:startOverride w:val="1"/>
    </w:lvlOverride>
  </w:num>
  <w:num w:numId="81">
    <w:abstractNumId w:val="46"/>
    <w:lvlOverride w:ilvl="0">
      <w:startOverride w:val="1"/>
    </w:lvlOverride>
  </w:num>
  <w:num w:numId="82">
    <w:abstractNumId w:val="46"/>
    <w:lvlOverride w:ilvl="0">
      <w:startOverride w:val="1"/>
    </w:lvlOverride>
  </w:num>
  <w:num w:numId="83">
    <w:abstractNumId w:val="46"/>
    <w:lvlOverride w:ilvl="0">
      <w:startOverride w:val="1"/>
    </w:lvlOverride>
  </w:num>
  <w:num w:numId="84">
    <w:abstractNumId w:val="46"/>
    <w:lvlOverride w:ilvl="0">
      <w:startOverride w:val="1"/>
    </w:lvlOverride>
  </w:num>
  <w:num w:numId="85">
    <w:abstractNumId w:val="46"/>
    <w:lvlOverride w:ilvl="0">
      <w:startOverride w:val="1"/>
    </w:lvlOverride>
  </w:num>
  <w:num w:numId="86">
    <w:abstractNumId w:val="46"/>
    <w:lvlOverride w:ilvl="0">
      <w:startOverride w:val="1"/>
    </w:lvlOverride>
  </w:num>
  <w:num w:numId="87">
    <w:abstractNumId w:val="46"/>
    <w:lvlOverride w:ilvl="0">
      <w:startOverride w:val="1"/>
    </w:lvlOverride>
  </w:num>
  <w:num w:numId="88">
    <w:abstractNumId w:val="46"/>
    <w:lvlOverride w:ilvl="0">
      <w:startOverride w:val="1"/>
    </w:lvlOverride>
  </w:num>
  <w:num w:numId="89">
    <w:abstractNumId w:val="46"/>
    <w:lvlOverride w:ilvl="0">
      <w:startOverride w:val="1"/>
    </w:lvlOverride>
  </w:num>
  <w:num w:numId="90">
    <w:abstractNumId w:val="46"/>
    <w:lvlOverride w:ilvl="0">
      <w:startOverride w:val="1"/>
    </w:lvlOverride>
  </w:num>
  <w:num w:numId="91">
    <w:abstractNumId w:val="46"/>
    <w:lvlOverride w:ilvl="0">
      <w:startOverride w:val="1"/>
    </w:lvlOverride>
  </w:num>
  <w:num w:numId="92">
    <w:abstractNumId w:val="46"/>
    <w:lvlOverride w:ilvl="0">
      <w:startOverride w:val="1"/>
    </w:lvlOverride>
  </w:num>
  <w:num w:numId="93">
    <w:abstractNumId w:val="46"/>
    <w:lvlOverride w:ilvl="0">
      <w:startOverride w:val="1"/>
    </w:lvlOverride>
  </w:num>
  <w:num w:numId="94">
    <w:abstractNumId w:val="46"/>
    <w:lvlOverride w:ilvl="0">
      <w:startOverride w:val="1"/>
    </w:lvlOverride>
  </w:num>
  <w:num w:numId="95">
    <w:abstractNumId w:val="46"/>
    <w:lvlOverride w:ilvl="0">
      <w:startOverride w:val="1"/>
    </w:lvlOverride>
  </w:num>
  <w:num w:numId="96">
    <w:abstractNumId w:val="46"/>
    <w:lvlOverride w:ilvl="0">
      <w:startOverride w:val="1"/>
    </w:lvlOverride>
  </w:num>
  <w:num w:numId="97">
    <w:abstractNumId w:val="46"/>
    <w:lvlOverride w:ilvl="0">
      <w:startOverride w:val="1"/>
    </w:lvlOverride>
  </w:num>
  <w:num w:numId="98">
    <w:abstractNumId w:val="46"/>
    <w:lvlOverride w:ilvl="0">
      <w:startOverride w:val="1"/>
    </w:lvlOverride>
  </w:num>
  <w:num w:numId="99">
    <w:abstractNumId w:val="46"/>
    <w:lvlOverride w:ilvl="0">
      <w:startOverride w:val="1"/>
    </w:lvlOverride>
  </w:num>
  <w:num w:numId="100">
    <w:abstractNumId w:val="46"/>
    <w:lvlOverride w:ilvl="0">
      <w:startOverride w:val="1"/>
    </w:lvlOverride>
  </w:num>
  <w:num w:numId="101">
    <w:abstractNumId w:val="46"/>
    <w:lvlOverride w:ilvl="0">
      <w:startOverride w:val="1"/>
    </w:lvlOverride>
  </w:num>
  <w:num w:numId="102">
    <w:abstractNumId w:val="46"/>
    <w:lvlOverride w:ilvl="0">
      <w:startOverride w:val="1"/>
    </w:lvlOverride>
  </w:num>
  <w:num w:numId="103">
    <w:abstractNumId w:val="46"/>
    <w:lvlOverride w:ilvl="0">
      <w:startOverride w:val="1"/>
    </w:lvlOverride>
  </w:num>
  <w:num w:numId="104">
    <w:abstractNumId w:val="46"/>
    <w:lvlOverride w:ilvl="0">
      <w:startOverride w:val="1"/>
    </w:lvlOverride>
  </w:num>
  <w:num w:numId="105">
    <w:abstractNumId w:val="46"/>
    <w:lvlOverride w:ilvl="0">
      <w:startOverride w:val="1"/>
    </w:lvlOverride>
  </w:num>
  <w:num w:numId="106">
    <w:abstractNumId w:val="46"/>
    <w:lvlOverride w:ilvl="0">
      <w:startOverride w:val="1"/>
    </w:lvlOverride>
  </w:num>
  <w:num w:numId="107">
    <w:abstractNumId w:val="46"/>
    <w:lvlOverride w:ilvl="0">
      <w:startOverride w:val="1"/>
    </w:lvlOverride>
  </w:num>
  <w:num w:numId="108">
    <w:abstractNumId w:val="46"/>
    <w:lvlOverride w:ilvl="0">
      <w:startOverride w:val="1"/>
    </w:lvlOverride>
  </w:num>
  <w:num w:numId="109">
    <w:abstractNumId w:val="46"/>
    <w:lvlOverride w:ilvl="0">
      <w:startOverride w:val="1"/>
    </w:lvlOverride>
  </w:num>
  <w:num w:numId="110">
    <w:abstractNumId w:val="46"/>
    <w:lvlOverride w:ilvl="0">
      <w:startOverride w:val="1"/>
    </w:lvlOverride>
  </w:num>
  <w:num w:numId="111">
    <w:abstractNumId w:val="46"/>
    <w:lvlOverride w:ilvl="0">
      <w:startOverride w:val="1"/>
    </w:lvlOverride>
  </w:num>
  <w:num w:numId="112">
    <w:abstractNumId w:val="46"/>
    <w:lvlOverride w:ilvl="0">
      <w:startOverride w:val="1"/>
    </w:lvlOverride>
  </w:num>
  <w:num w:numId="113">
    <w:abstractNumId w:val="46"/>
    <w:lvlOverride w:ilvl="0">
      <w:startOverride w:val="1"/>
    </w:lvlOverride>
  </w:num>
  <w:num w:numId="114">
    <w:abstractNumId w:val="46"/>
    <w:lvlOverride w:ilvl="0">
      <w:startOverride w:val="1"/>
    </w:lvlOverride>
  </w:num>
  <w:num w:numId="115">
    <w:abstractNumId w:val="46"/>
    <w:lvlOverride w:ilvl="0">
      <w:startOverride w:val="1"/>
    </w:lvlOverride>
  </w:num>
  <w:num w:numId="116">
    <w:abstractNumId w:val="46"/>
    <w:lvlOverride w:ilvl="0">
      <w:startOverride w:val="1"/>
    </w:lvlOverride>
  </w:num>
  <w:num w:numId="117">
    <w:abstractNumId w:val="46"/>
    <w:lvlOverride w:ilvl="0">
      <w:startOverride w:val="1"/>
    </w:lvlOverride>
  </w:num>
  <w:num w:numId="118">
    <w:abstractNumId w:val="46"/>
    <w:lvlOverride w:ilvl="0">
      <w:startOverride w:val="1"/>
    </w:lvlOverride>
  </w:num>
  <w:num w:numId="119">
    <w:abstractNumId w:val="46"/>
    <w:lvlOverride w:ilvl="0">
      <w:startOverride w:val="1"/>
    </w:lvlOverride>
  </w:num>
  <w:num w:numId="120">
    <w:abstractNumId w:val="46"/>
    <w:lvlOverride w:ilvl="0">
      <w:startOverride w:val="1"/>
    </w:lvlOverride>
  </w:num>
  <w:num w:numId="121">
    <w:abstractNumId w:val="46"/>
    <w:lvlOverride w:ilvl="0">
      <w:startOverride w:val="1"/>
    </w:lvlOverride>
  </w:num>
  <w:num w:numId="122">
    <w:abstractNumId w:val="11"/>
  </w:num>
  <w:num w:numId="123">
    <w:abstractNumId w:val="76"/>
  </w:num>
  <w:num w:numId="124">
    <w:abstractNumId w:val="107"/>
  </w:num>
  <w:num w:numId="125">
    <w:abstractNumId w:val="114"/>
  </w:num>
  <w:num w:numId="126">
    <w:abstractNumId w:val="113"/>
  </w:num>
  <w:num w:numId="127">
    <w:abstractNumId w:val="77"/>
  </w:num>
  <w:num w:numId="128">
    <w:abstractNumId w:val="38"/>
  </w:num>
  <w:num w:numId="129">
    <w:abstractNumId w:val="41"/>
  </w:num>
  <w:num w:numId="130">
    <w:abstractNumId w:val="62"/>
  </w:num>
  <w:num w:numId="131">
    <w:abstractNumId w:val="15"/>
  </w:num>
  <w:num w:numId="132">
    <w:abstractNumId w:val="3"/>
  </w:num>
  <w:num w:numId="133">
    <w:abstractNumId w:val="86"/>
    <w:lvlOverride w:ilvl="0">
      <w:startOverride w:val="1"/>
    </w:lvlOverride>
  </w:num>
  <w:num w:numId="134">
    <w:abstractNumId w:val="86"/>
    <w:lvlOverride w:ilvl="0">
      <w:startOverride w:val="1"/>
    </w:lvlOverride>
  </w:num>
  <w:num w:numId="135">
    <w:abstractNumId w:val="78"/>
  </w:num>
  <w:num w:numId="136">
    <w:abstractNumId w:val="86"/>
    <w:lvlOverride w:ilvl="0">
      <w:startOverride w:val="1"/>
    </w:lvlOverride>
  </w:num>
  <w:num w:numId="137">
    <w:abstractNumId w:val="68"/>
  </w:num>
  <w:num w:numId="138">
    <w:abstractNumId w:val="106"/>
  </w:num>
  <w:num w:numId="139">
    <w:abstractNumId w:val="71"/>
  </w:num>
  <w:num w:numId="140">
    <w:abstractNumId w:val="35"/>
  </w:num>
  <w:num w:numId="141">
    <w:abstractNumId w:val="103"/>
  </w:num>
  <w:num w:numId="142">
    <w:abstractNumId w:val="19"/>
  </w:num>
  <w:num w:numId="143">
    <w:abstractNumId w:val="66"/>
  </w:num>
  <w:num w:numId="144">
    <w:abstractNumId w:val="23"/>
  </w:num>
  <w:num w:numId="145">
    <w:abstractNumId w:val="63"/>
  </w:num>
  <w:num w:numId="146">
    <w:abstractNumId w:val="98"/>
  </w:num>
  <w:num w:numId="147">
    <w:abstractNumId w:val="47"/>
  </w:num>
  <w:num w:numId="148">
    <w:abstractNumId w:val="17"/>
  </w:num>
  <w:num w:numId="149">
    <w:abstractNumId w:val="8"/>
  </w:num>
  <w:num w:numId="150">
    <w:abstractNumId w:val="20"/>
  </w:num>
  <w:num w:numId="151">
    <w:abstractNumId w:val="53"/>
  </w:num>
  <w:num w:numId="152">
    <w:abstractNumId w:val="16"/>
  </w:num>
  <w:num w:numId="153">
    <w:abstractNumId w:val="81"/>
  </w:num>
  <w:num w:numId="154">
    <w:abstractNumId w:val="73"/>
  </w:num>
  <w:num w:numId="155">
    <w:abstractNumId w:val="5"/>
  </w:num>
  <w:num w:numId="156">
    <w:abstractNumId w:val="14"/>
  </w:num>
  <w:num w:numId="157">
    <w:abstractNumId w:val="64"/>
  </w:num>
  <w:num w:numId="158">
    <w:abstractNumId w:val="111"/>
  </w:num>
  <w:num w:numId="159">
    <w:abstractNumId w:val="89"/>
  </w:num>
  <w:num w:numId="160">
    <w:abstractNumId w:val="93"/>
  </w:num>
  <w:num w:numId="161">
    <w:abstractNumId w:val="58"/>
  </w:num>
  <w:num w:numId="162">
    <w:abstractNumId w:val="96"/>
  </w:num>
  <w:num w:numId="163">
    <w:abstractNumId w:val="51"/>
  </w:num>
  <w:num w:numId="164">
    <w:abstractNumId w:val="112"/>
  </w:num>
  <w:num w:numId="165">
    <w:abstractNumId w:val="50"/>
  </w:num>
  <w:num w:numId="166">
    <w:abstractNumId w:val="95"/>
  </w:num>
  <w:num w:numId="167">
    <w:abstractNumId w:val="9"/>
  </w:num>
  <w:num w:numId="168">
    <w:abstractNumId w:val="10"/>
  </w:num>
  <w:num w:numId="169">
    <w:abstractNumId w:val="88"/>
  </w:num>
  <w:num w:numId="170">
    <w:abstractNumId w:val="33"/>
  </w:num>
  <w:num w:numId="171">
    <w:abstractNumId w:val="56"/>
  </w:num>
  <w:num w:numId="172">
    <w:abstractNumId w:val="60"/>
  </w:num>
  <w:num w:numId="173">
    <w:abstractNumId w:val="34"/>
  </w:num>
  <w:num w:numId="174">
    <w:abstractNumId w:val="43"/>
  </w:num>
  <w:num w:numId="175">
    <w:abstractNumId w:val="1"/>
  </w:num>
  <w:num w:numId="176">
    <w:abstractNumId w:val="82"/>
  </w:num>
  <w:num w:numId="177">
    <w:abstractNumId w:val="110"/>
  </w:num>
  <w:num w:numId="178">
    <w:abstractNumId w:val="7"/>
  </w:num>
  <w:num w:numId="179">
    <w:abstractNumId w:val="101"/>
  </w:num>
  <w:num w:numId="180">
    <w:abstractNumId w:val="100"/>
  </w:num>
  <w:num w:numId="181">
    <w:abstractNumId w:val="52"/>
  </w:num>
  <w:num w:numId="182">
    <w:abstractNumId w:val="36"/>
  </w:num>
  <w:num w:numId="183">
    <w:abstractNumId w:val="70"/>
  </w:num>
  <w:num w:numId="184">
    <w:abstractNumId w:val="42"/>
  </w:num>
  <w:num w:numId="185">
    <w:abstractNumId w:val="87"/>
  </w:num>
  <w:num w:numId="186">
    <w:abstractNumId w:val="25"/>
  </w:num>
  <w:num w:numId="187">
    <w:abstractNumId w:val="92"/>
  </w:num>
  <w:num w:numId="188">
    <w:abstractNumId w:val="54"/>
  </w:num>
  <w:num w:numId="189">
    <w:abstractNumId w:val="6"/>
  </w:num>
  <w:num w:numId="190">
    <w:abstractNumId w:val="39"/>
  </w:num>
  <w:num w:numId="191">
    <w:abstractNumId w:val="45"/>
  </w:num>
  <w:num w:numId="192">
    <w:abstractNumId w:val="55"/>
  </w:num>
  <w:num w:numId="193">
    <w:abstractNumId w:val="94"/>
  </w:num>
  <w:num w:numId="194">
    <w:abstractNumId w:val="31"/>
  </w:num>
  <w:num w:numId="195">
    <w:abstractNumId w:val="21"/>
  </w:num>
  <w:num w:numId="196">
    <w:abstractNumId w:val="80"/>
  </w:num>
  <w:num w:numId="197">
    <w:abstractNumId w:val="13"/>
  </w:num>
  <w:num w:numId="198">
    <w:abstractNumId w:val="65"/>
  </w:num>
  <w:num w:numId="199">
    <w:abstractNumId w:val="84"/>
  </w:num>
  <w:num w:numId="200">
    <w:abstractNumId w:val="102"/>
  </w:num>
  <w:num w:numId="201">
    <w:abstractNumId w:val="79"/>
  </w:num>
  <w:num w:numId="202">
    <w:abstractNumId w:val="69"/>
  </w:num>
  <w:num w:numId="203">
    <w:abstractNumId w:val="40"/>
  </w:num>
  <w:num w:numId="204">
    <w:abstractNumId w:val="115"/>
  </w:num>
  <w:num w:numId="205">
    <w:abstractNumId w:val="75"/>
  </w:num>
  <w:num w:numId="206">
    <w:abstractNumId w:val="86"/>
    <w:lvlOverride w:ilvl="0">
      <w:startOverride w:val="1"/>
    </w:lvlOverride>
  </w:num>
  <w:num w:numId="207">
    <w:abstractNumId w:val="86"/>
    <w:lvlOverride w:ilvl="0">
      <w:startOverride w:val="1"/>
    </w:lvlOverride>
  </w:num>
  <w:num w:numId="208">
    <w:abstractNumId w:val="86"/>
    <w:lvlOverride w:ilvl="0">
      <w:startOverride w:val="1"/>
    </w:lvlOverride>
  </w:num>
  <w:num w:numId="209">
    <w:abstractNumId w:val="85"/>
  </w:num>
  <w:num w:numId="210">
    <w:abstractNumId w:val="22"/>
  </w:num>
  <w:num w:numId="211">
    <w:abstractNumId w:val="109"/>
  </w:num>
  <w:num w:numId="212">
    <w:abstractNumId w:val="0"/>
  </w:num>
  <w:num w:numId="213">
    <w:abstractNumId w:val="83"/>
  </w:num>
  <w:num w:numId="214">
    <w:abstractNumId w:val="32"/>
  </w:num>
  <w:num w:numId="215">
    <w:abstractNumId w:val="28"/>
  </w:num>
  <w:num w:numId="216">
    <w:abstractNumId w:val="26"/>
  </w:num>
  <w:num w:numId="217">
    <w:abstractNumId w:val="2"/>
  </w:num>
  <w:num w:numId="218">
    <w:abstractNumId w:val="61"/>
  </w:num>
  <w:num w:numId="219">
    <w:abstractNumId w:val="48"/>
  </w:num>
  <w:num w:numId="220">
    <w:abstractNumId w:val="105"/>
  </w:num>
  <w:num w:numId="221">
    <w:abstractNumId w:val="74"/>
  </w:num>
  <w:num w:numId="222">
    <w:abstractNumId w:val="18"/>
  </w:num>
  <w:num w:numId="223">
    <w:abstractNumId w:val="108"/>
  </w:num>
  <w:num w:numId="224">
    <w:abstractNumId w:val="30"/>
  </w:num>
  <w:num w:numId="225">
    <w:abstractNumId w:val="72"/>
  </w:num>
  <w:num w:numId="226">
    <w:abstractNumId w:val="104"/>
  </w:num>
  <w:num w:numId="227">
    <w:abstractNumId w:val="59"/>
  </w:num>
  <w:num w:numId="228">
    <w:abstractNumId w:val="59"/>
    <w:lvlOverride w:ilvl="0">
      <w:startOverride w:val="1"/>
    </w:lvlOverride>
    <w:lvlOverride w:ilvl="1"/>
    <w:lvlOverride w:ilvl="2"/>
    <w:lvlOverride w:ilvl="3"/>
    <w:lvlOverride w:ilvl="4"/>
    <w:lvlOverride w:ilvl="5"/>
    <w:lvlOverride w:ilvl="6"/>
    <w:lvlOverride w:ilvl="7"/>
    <w:lvlOverride w:ilvl="8"/>
  </w:num>
  <w:num w:numId="229">
    <w:abstractNumId w:val="97"/>
  </w:num>
  <w:num w:numId="230">
    <w:abstractNumId w:val="67"/>
  </w:num>
  <w:num w:numId="231">
    <w:abstractNumId w:val="44"/>
  </w:num>
  <w:numIdMacAtCleanup w:val="2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4"/>
  <w:hideSpellingErrors/>
  <w:hideGrammaticalErrors/>
  <w:activeWritingStyle w:appName="MSWord" w:lang="nl-NL" w:vendorID="1" w:dllVersion="512" w:checkStyle="1"/>
  <w:activeWritingStyle w:appName="MSWord" w:lang="nl-BE" w:vendorID="1" w:dllVersion="512" w:checkStyle="1"/>
  <w:activeWritingStyle w:appName="MSWord" w:lang="pt-PT" w:vendorID="13" w:dllVersion="513" w:checkStyle="1"/>
  <w:activeWritingStyle w:appName="MSWord" w:lang="da-DK" w:vendorID="22" w:dllVersion="513" w:checkStyle="1"/>
  <w:activeWritingStyle w:appName="MSWord" w:lang="sv-SE" w:vendorID="22" w:dllVersion="513" w:checkStyle="1"/>
  <w:activeWritingStyle w:appName="MSWord" w:lang="it-IT" w:vendorID="3" w:dllVersion="517" w:checkStyle="1"/>
  <w:activeWritingStyle w:appName="MSWord" w:lang="pl-PL" w:vendorID="12" w:dllVersion="512" w:checkStyle="1"/>
  <w:activeWritingStyle w:appName="MSWord" w:lang="fi-FI" w:vendorID="22" w:dllVersion="513" w:checkStyle="1"/>
  <w:activeWritingStyle w:appName="MSWord" w:lang="hu-HU" w:vendorID="7" w:dllVersion="513" w:checkStyle="1"/>
  <w:activeWritingStyle w:appName="MSWord" w:lang="nb-NO" w:vendorID="22" w:dllVersion="513" w:checkStyle="1"/>
  <w:defaultTabStop w:val="720"/>
  <w:characterSpacingControl w:val="doNotCompress"/>
  <w:hdrShapeDefaults>
    <o:shapedefaults v:ext="edit" spidmax="105473"/>
  </w:hdrShapeDefaults>
  <w:footnotePr>
    <w:numRestart w:val="eachSect"/>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DF409973-AD79-4E80-A4F1-66FC601FB34B"/>
    <w:docVar w:name="LW_COVERPAGE_TYPE" w:val="1"/>
    <w:docVar w:name="LW_CROSSREFERENCE" w:val="{COM(2018) 540 final}_x000d__x000a_{SWD(2018) 377 final}_x000d__x000a_{SWD(2018) 378 final}"/>
    <w:docVar w:name="LW_DocType" w:val="NORMAL"/>
    <w:docVar w:name="LW_EMISSION" w:val="12.7.2018"/>
    <w:docVar w:name="LW_EMISSION_ISODATE" w:val="2018-07-12"/>
    <w:docVar w:name="LW_EMISSION_LOCATION" w:val="BRX"/>
    <w:docVar w:name="LW_EMISSION_PREFIX" w:val="Brussels,"/>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Monitoring the application of European Union law_x000b_2017 Annual Report"/>
    <w:docVar w:name="LW_PART_NBR" w:val="2"/>
    <w:docVar w:name="LW_PART_NBR_TOTAL" w:val="2"/>
    <w:docVar w:name="LW_REF.INST.NEW" w:val="SWD"/>
    <w:docVar w:name="LW_REF.INST.NEW_ADOPTED" w:val="final"/>
    <w:docVar w:name="LW_REF.INST.NEW_TEXT" w:val="(2018) 379"/>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Part III: Member States"/>
    <w:docVar w:name="LW_TYPE.DOC.CP" w:val="COMMISSION STAFF WORKING DOCUMENT"/>
    <w:docVar w:name="LW_TYPEACTEPRINCIPAL.CP" w:val="REPORT FROM THE COMMISSION"/>
    <w:docVar w:name="Stamp" w:val="\\dossiers.dgt.cec.eu.int\dossiers\SG\SG-2016-00297\SG-2016-00297-00-02-EN-REV-00.DOCX"/>
  </w:docVars>
  <w:rsids>
    <w:rsidRoot w:val="00E26342"/>
    <w:rsid w:val="00040788"/>
    <w:rsid w:val="00E26342"/>
  </w:rsids>
  <m:mathPr>
    <m:mathFont m:val="Cambria Math"/>
    <m:brkBin m:val="before"/>
    <m:brkBinSub m:val="--"/>
    <m:smallFrac m:val="0"/>
    <m:dispDef/>
    <m:lMargin m:val="0"/>
    <m:rMargin m:val="0"/>
    <m:defJc m:val="centerGroup"/>
    <m:wrapIndent m:val="1440"/>
    <m:intLim m:val="subSup"/>
    <m:naryLim m:val="undOvr"/>
  </m:mathPr>
  <w:themeFontLang w:val="en-GB"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4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th-TH"/>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List Bullet" w:uiPriority="0"/>
    <w:lsdException w:name="List Number 5" w:uiPriority="0"/>
    <w:lsdException w:name="Title" w:semiHidden="0" w:uiPriority="10" w:unhideWhenUsed="0" w:qFormat="1"/>
    <w:lsdException w:name="Default Paragraph Font" w:uiPriority="1"/>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240"/>
      <w:jc w:val="both"/>
    </w:pPr>
    <w:rPr>
      <w:rFonts w:ascii="Times New Roman" w:eastAsia="Times New Roman" w:hAnsi="Times New Roman"/>
      <w:sz w:val="24"/>
      <w:lang w:eastAsia="en-US" w:bidi="ar-SA"/>
    </w:rPr>
  </w:style>
  <w:style w:type="paragraph" w:styleId="Heading1">
    <w:name w:val="heading 1"/>
    <w:basedOn w:val="MemberStateHeader"/>
    <w:next w:val="Subtitle"/>
    <w:link w:val="Heading1Char"/>
    <w:uiPriority w:val="9"/>
    <w:qFormat/>
    <w:pPr>
      <w:keepNext/>
      <w:keepLines/>
      <w:outlineLvl w:val="0"/>
    </w:pPr>
    <w:rPr>
      <w:rFonts w:eastAsia="SimSun"/>
      <w:bCs/>
      <w:color w:val="A6A6A6"/>
      <w:szCs w:val="28"/>
    </w:rPr>
  </w:style>
  <w:style w:type="paragraph" w:styleId="Heading2">
    <w:name w:val="heading 2"/>
    <w:basedOn w:val="Normal"/>
    <w:next w:val="Normal"/>
    <w:link w:val="Heading2Char"/>
    <w:pPr>
      <w:keepNext/>
      <w:tabs>
        <w:tab w:val="num" w:pos="1200"/>
      </w:tabs>
      <w:ind w:left="1200" w:hanging="720"/>
      <w:outlineLvl w:val="1"/>
    </w:pPr>
    <w:rPr>
      <w:rFonts w:ascii="Arial" w:hAnsi="Arial"/>
      <w:b/>
      <w:sz w:val="22"/>
    </w:rPr>
  </w:style>
  <w:style w:type="paragraph" w:styleId="Heading3">
    <w:name w:val="heading 3"/>
    <w:basedOn w:val="Normal"/>
    <w:next w:val="Normal"/>
    <w:link w:val="Heading3Char"/>
    <w:unhideWhenUsed/>
    <w:qFormat/>
    <w:pPr>
      <w:keepNext/>
      <w:keepLines/>
      <w:spacing w:before="200" w:after="0"/>
      <w:outlineLvl w:val="2"/>
    </w:pPr>
    <w:rPr>
      <w:rFonts w:ascii="Cambria" w:eastAsia="SimSun" w:hAnsi="Cambria"/>
      <w:b/>
      <w:bCs/>
      <w:color w:val="4F81BD"/>
    </w:rPr>
  </w:style>
  <w:style w:type="paragraph" w:styleId="Heading4">
    <w:name w:val="heading 4"/>
    <w:basedOn w:val="Normal"/>
    <w:next w:val="Normal"/>
    <w:link w:val="Heading4Char"/>
    <w:pPr>
      <w:keepNext/>
      <w:tabs>
        <w:tab w:val="num" w:pos="1920"/>
      </w:tabs>
      <w:ind w:left="1920" w:hanging="720"/>
      <w:outlineLvl w:val="3"/>
    </w:pPr>
    <w:rPr>
      <w:rFonts w:ascii="Arial" w:hAnsi="Arial"/>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Fußnote,Fotnotstext1,fn,Footnote Text Char2 Char,Footnote Text Char Char Char1,Footnote Text Char1 Char Char Char,Footnote Text Char2 Char Char Char Char,Footnote Text Char1 Char1 Char Char Char Char,footnote te,Voetnootteks,f,Ch"/>
    <w:basedOn w:val="Normal"/>
    <w:qFormat/>
    <w:pPr>
      <w:spacing w:after="0"/>
      <w:ind w:left="357" w:hanging="357"/>
    </w:pPr>
    <w:rPr>
      <w:rFonts w:ascii="Arial" w:hAnsi="Arial"/>
      <w:sz w:val="18"/>
    </w:rPr>
  </w:style>
  <w:style w:type="character" w:customStyle="1" w:styleId="FootnoteTextChar">
    <w:name w:val="Footnote Text Char"/>
    <w:aliases w:val="Footnote Char,Fußnote Char,Fotnotstext1 Char,fn Char,Footnote Text Char2 Char Char,Footnote Text Char Char Char1 Char,Footnote Text Char1 Char Char Char Char,Footnote Text Char2 Char Char Char Char Char,footnote te Char,f Char,Ch Char"/>
    <w:rPr>
      <w:rFonts w:ascii="Arial" w:eastAsia="Times New Roman" w:hAnsi="Arial" w:cs="Times New Roman"/>
      <w:sz w:val="18"/>
      <w:szCs w:val="20"/>
    </w:rPr>
  </w:style>
  <w:style w:type="character" w:styleId="FootnoteReference">
    <w:name w:val="footnote reference"/>
    <w:aliases w:val="Footnote number,Footnote symbol,fr,o,de nota al pie,Ref,Char,SUPERS,Voetnootmarkering,Char1,Nota,(NECG) Footnote Reference, Char, Char1,Ref Char,de nota al pie Char,Footnote number Char,Footnote symbol Char,note TESI Char,Nota Char,FR"/>
    <w:uiPriority w:val="99"/>
    <w:qFormat/>
    <w:rPr>
      <w:vertAlign w:val="superscript"/>
    </w:rPr>
  </w:style>
  <w:style w:type="paragraph" w:customStyle="1" w:styleId="Body">
    <w:name w:val="Body"/>
    <w:basedOn w:val="Normal"/>
    <w:link w:val="BodyChar"/>
    <w:qFormat/>
    <w:pPr>
      <w:spacing w:after="120"/>
      <w:ind w:firstLine="709"/>
    </w:pPr>
    <w:rPr>
      <w:rFonts w:ascii="Arial" w:hAnsi="Arial" w:cs="Arial"/>
      <w:sz w:val="20"/>
      <w:lang w:val="en-US"/>
    </w:rPr>
  </w:style>
  <w:style w:type="character" w:customStyle="1" w:styleId="BodyChar">
    <w:name w:val="Body Char"/>
    <w:link w:val="Body"/>
    <w:rPr>
      <w:rFonts w:ascii="Arial" w:eastAsia="Times New Roman" w:hAnsi="Arial" w:cs="Arial"/>
      <w:sz w:val="20"/>
      <w:szCs w:val="20"/>
      <w:lang w:val="en-US"/>
    </w:rPr>
  </w:style>
  <w:style w:type="paragraph" w:customStyle="1" w:styleId="kop2">
    <w:name w:val="kop 2"/>
    <w:basedOn w:val="Normal"/>
    <w:next w:val="Normal"/>
    <w:link w:val="kop2Char"/>
    <w:uiPriority w:val="1"/>
    <w:unhideWhenUsed/>
    <w:qFormat/>
    <w:pPr>
      <w:keepNext/>
      <w:keepLines/>
      <w:spacing w:after="120"/>
      <w:ind w:left="360" w:hanging="360"/>
      <w:outlineLvl w:val="1"/>
    </w:pPr>
    <w:rPr>
      <w:rFonts w:ascii="Arial" w:eastAsia="MS Gothic" w:hAnsi="Arial" w:cs="Arial"/>
      <w:caps/>
      <w:color w:val="4F81BD"/>
      <w:kern w:val="20"/>
      <w:szCs w:val="24"/>
    </w:rPr>
  </w:style>
  <w:style w:type="paragraph" w:customStyle="1" w:styleId="kop3">
    <w:name w:val="kop 3"/>
    <w:basedOn w:val="Subtitle"/>
    <w:next w:val="Normal"/>
    <w:link w:val="kop3Char"/>
    <w:autoRedefine/>
    <w:uiPriority w:val="1"/>
    <w:unhideWhenUsed/>
    <w:qFormat/>
    <w:pPr>
      <w:numPr>
        <w:ilvl w:val="0"/>
        <w:numId w:val="0"/>
      </w:numPr>
      <w:ind w:left="2869" w:hanging="180"/>
    </w:pPr>
  </w:style>
  <w:style w:type="character" w:customStyle="1" w:styleId="kop2Char">
    <w:name w:val="kop 2 Char"/>
    <w:link w:val="kop2"/>
    <w:uiPriority w:val="1"/>
    <w:rPr>
      <w:rFonts w:ascii="Arial" w:eastAsia="MS Gothic" w:hAnsi="Arial" w:cs="Arial"/>
      <w:caps/>
      <w:color w:val="4F81BD"/>
      <w:kern w:val="20"/>
      <w:sz w:val="24"/>
      <w:szCs w:val="24"/>
    </w:rPr>
  </w:style>
  <w:style w:type="character" w:customStyle="1" w:styleId="kop3Char">
    <w:name w:val="kop 3 Char"/>
    <w:link w:val="kop3"/>
    <w:uiPriority w:val="1"/>
    <w:rPr>
      <w:rFonts w:ascii="Arial" w:eastAsia="Times New Roman" w:hAnsi="Arial" w:cs="Times New Roman"/>
      <w:color w:val="002060"/>
    </w:rPr>
  </w:style>
  <w:style w:type="paragraph" w:customStyle="1" w:styleId="Lijstje">
    <w:name w:val="Lijstje"/>
    <w:basedOn w:val="NoSpacing"/>
    <w:uiPriority w:val="1"/>
    <w:unhideWhenUsed/>
    <w:qFormat/>
    <w:locked/>
    <w:pPr>
      <w:spacing w:after="120"/>
      <w:ind w:left="1845" w:hanging="705"/>
    </w:pPr>
    <w:rPr>
      <w:rFonts w:ascii="Arial" w:eastAsia="Calibri" w:hAnsi="Arial" w:cs="Arial"/>
      <w:kern w:val="20"/>
      <w:sz w:val="20"/>
    </w:rPr>
  </w:style>
  <w:style w:type="paragraph" w:customStyle="1" w:styleId="Lijstje2">
    <w:name w:val="Lijstje2"/>
    <w:basedOn w:val="ListParagraph"/>
    <w:uiPriority w:val="1"/>
    <w:unhideWhenUsed/>
    <w:qFormat/>
    <w:locked/>
    <w:pPr>
      <w:numPr>
        <w:numId w:val="2"/>
      </w:numPr>
      <w:spacing w:after="120"/>
    </w:pPr>
    <w:rPr>
      <w:rFonts w:ascii="Verdana" w:eastAsia="Calibri" w:hAnsi="Verdana"/>
      <w:kern w:val="20"/>
      <w:sz w:val="20"/>
      <w:lang w:val="nl-NL"/>
    </w:rPr>
  </w:style>
  <w:style w:type="paragraph" w:customStyle="1" w:styleId="MemberStateHeader">
    <w:name w:val="Member State Header"/>
    <w:basedOn w:val="Normal"/>
    <w:link w:val="MemberStateHeaderChar"/>
    <w:qFormat/>
    <w:pPr>
      <w:jc w:val="center"/>
    </w:pPr>
    <w:rPr>
      <w:rFonts w:ascii="Arial" w:hAnsi="Arial"/>
      <w:color w:val="BFBFBF"/>
      <w:szCs w:val="24"/>
    </w:rPr>
  </w:style>
  <w:style w:type="character" w:customStyle="1" w:styleId="MemberStateHeaderChar">
    <w:name w:val="Member State Header Char"/>
    <w:link w:val="MemberStateHeader"/>
    <w:rPr>
      <w:rFonts w:ascii="Arial" w:eastAsia="Times New Roman" w:hAnsi="Arial" w:cs="Times New Roman"/>
      <w:color w:val="BFBFBF"/>
      <w:sz w:val="24"/>
      <w:szCs w:val="24"/>
    </w:rPr>
  </w:style>
  <w:style w:type="paragraph" w:styleId="NoSpacing">
    <w:name w:val="No Spacing"/>
    <w:uiPriority w:val="1"/>
    <w:qFormat/>
    <w:pPr>
      <w:jc w:val="both"/>
    </w:pPr>
    <w:rPr>
      <w:rFonts w:ascii="Times New Roman" w:eastAsia="Times New Roman" w:hAnsi="Times New Roman"/>
      <w:sz w:val="24"/>
      <w:lang w:eastAsia="en-US" w:bidi="ar-SA"/>
    </w:r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semiHidden/>
    <w:unhideWhenUsed/>
    <w:pPr>
      <w:spacing w:after="0"/>
    </w:pPr>
    <w:rPr>
      <w:rFonts w:ascii="Tahoma" w:hAnsi="Tahoma" w:cs="Tahoma"/>
      <w:sz w:val="16"/>
      <w:szCs w:val="16"/>
    </w:rPr>
  </w:style>
  <w:style w:type="character" w:customStyle="1" w:styleId="BalloonTextChar">
    <w:name w:val="Balloon Text Char"/>
    <w:link w:val="BalloonText"/>
    <w:uiPriority w:val="99"/>
    <w:semiHidden/>
    <w:rPr>
      <w:rFonts w:ascii="Tahoma" w:eastAsia="Times New Roman" w:hAnsi="Tahoma" w:cs="Tahoma"/>
      <w:sz w:val="16"/>
      <w:szCs w:val="16"/>
    </w:rPr>
  </w:style>
  <w:style w:type="paragraph" w:styleId="Header">
    <w:name w:val="header"/>
    <w:basedOn w:val="Normal"/>
    <w:link w:val="HeaderChar"/>
    <w:uiPriority w:val="99"/>
    <w:unhideWhenUsed/>
    <w:pPr>
      <w:tabs>
        <w:tab w:val="center" w:pos="4535"/>
        <w:tab w:val="right" w:pos="9071"/>
      </w:tabs>
      <w:spacing w:after="120"/>
    </w:pPr>
    <w:rPr>
      <w:rFonts w:eastAsia="Calibri"/>
      <w:szCs w:val="22"/>
    </w:rPr>
  </w:style>
  <w:style w:type="character" w:customStyle="1" w:styleId="HeaderChar">
    <w:name w:val="Header Char"/>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rPr>
      <w:rFonts w:eastAsia="Calibri"/>
      <w:szCs w:val="22"/>
    </w:rPr>
  </w:style>
  <w:style w:type="character" w:customStyle="1" w:styleId="FooterChar">
    <w:name w:val="Footer Char"/>
    <w:link w:val="Footer"/>
    <w:uiPriority w:val="99"/>
    <w:rPr>
      <w:rFonts w:ascii="Times New Roman" w:hAnsi="Times New Roman" w:cs="Times New Roman"/>
      <w:sz w:val="24"/>
    </w:rPr>
  </w:style>
  <w:style w:type="paragraph" w:customStyle="1" w:styleId="Priorities">
    <w:name w:val="Priorities"/>
    <w:basedOn w:val="Normal"/>
    <w:link w:val="PrioritiesChar"/>
    <w:qFormat/>
    <w:pPr>
      <w:spacing w:after="200" w:line="276" w:lineRule="auto"/>
      <w:jc w:val="center"/>
    </w:pPr>
    <w:rPr>
      <w:rFonts w:ascii="Arial" w:eastAsia="Calibri" w:hAnsi="Arial" w:cs="Arial"/>
      <w:b/>
      <w:color w:val="163E71"/>
      <w:sz w:val="28"/>
      <w:szCs w:val="28"/>
    </w:rPr>
  </w:style>
  <w:style w:type="character" w:customStyle="1" w:styleId="PrioritiesChar">
    <w:name w:val="Priorities Char"/>
    <w:link w:val="Priorities"/>
    <w:rPr>
      <w:rFonts w:ascii="Arial" w:hAnsi="Arial" w:cs="Arial"/>
      <w:b/>
      <w:color w:val="163E71"/>
      <w:sz w:val="28"/>
      <w:szCs w:val="28"/>
    </w:rPr>
  </w:style>
  <w:style w:type="paragraph" w:styleId="Subtitle">
    <w:name w:val="Subtitle"/>
    <w:basedOn w:val="Normal"/>
    <w:link w:val="SubtitleChar"/>
    <w:autoRedefine/>
    <w:qFormat/>
    <w:pPr>
      <w:numPr>
        <w:ilvl w:val="2"/>
        <w:numId w:val="1"/>
      </w:numPr>
      <w:spacing w:before="240"/>
      <w:ind w:left="709" w:hanging="425"/>
      <w:jc w:val="left"/>
      <w:outlineLvl w:val="1"/>
    </w:pPr>
    <w:rPr>
      <w:rFonts w:ascii="Arial" w:hAnsi="Arial"/>
      <w:color w:val="002060"/>
      <w:sz w:val="22"/>
      <w:szCs w:val="22"/>
    </w:rPr>
  </w:style>
  <w:style w:type="character" w:customStyle="1" w:styleId="SubtitleChar">
    <w:name w:val="Subtitle Char"/>
    <w:link w:val="Subtitle"/>
    <w:rPr>
      <w:rFonts w:ascii="Arial" w:eastAsia="Times New Roman" w:hAnsi="Arial"/>
      <w:color w:val="002060"/>
      <w:sz w:val="22"/>
      <w:szCs w:val="22"/>
      <w:lang w:eastAsia="en-US" w:bidi="ar-SA"/>
    </w:rPr>
  </w:style>
  <w:style w:type="table" w:customStyle="1" w:styleId="Style1">
    <w:name w:val="Style1"/>
    <w:basedOn w:val="TableNormal"/>
    <w:rPr>
      <w:rFonts w:ascii="Times New Roman" w:eastAsia="Times New Roman" w:hAnsi="Times New Roman"/>
    </w:rPr>
    <w:tblPr/>
  </w:style>
  <w:style w:type="character" w:customStyle="1" w:styleId="affairetitle">
    <w:name w:val="affaire_title"/>
    <w:basedOn w:val="DefaultParagraphFont"/>
  </w:style>
  <w:style w:type="character" w:styleId="Hyperlink">
    <w:name w:val="Hyperlink"/>
    <w:uiPriority w:val="99"/>
    <w:unhideWhenUsed/>
    <w:rPr>
      <w:color w:val="0000FF"/>
      <w:u w:val="single"/>
    </w:rPr>
  </w:style>
  <w:style w:type="table" w:customStyle="1" w:styleId="Style11">
    <w:name w:val="Style11"/>
    <w:basedOn w:val="TableNormal"/>
    <w:rPr>
      <w:rFonts w:ascii="Times New Roman" w:eastAsia="Times New Roman" w:hAnsi="Times New Roman"/>
    </w:rPr>
    <w:tblPr/>
  </w:style>
  <w:style w:type="table" w:customStyle="1" w:styleId="Style12">
    <w:name w:val="Style12"/>
    <w:basedOn w:val="TableNormal"/>
    <w:rPr>
      <w:rFonts w:ascii="Times New Roman" w:eastAsia="Times New Roman" w:hAnsi="Times New Roman"/>
    </w:rPr>
    <w:tblPr/>
  </w:style>
  <w:style w:type="table" w:customStyle="1" w:styleId="Style13">
    <w:name w:val="Style13"/>
    <w:basedOn w:val="TableNormal"/>
    <w:rPr>
      <w:rFonts w:ascii="Times New Roman" w:eastAsia="Times New Roman" w:hAnsi="Times New Roman"/>
    </w:rPr>
    <w:tblPr/>
  </w:style>
  <w:style w:type="table" w:customStyle="1" w:styleId="Style14">
    <w:name w:val="Style14"/>
    <w:basedOn w:val="TableNormal"/>
    <w:rPr>
      <w:rFonts w:ascii="Times New Roman" w:eastAsia="Times New Roman" w:hAnsi="Times New Roman"/>
    </w:rPr>
    <w:tblPr/>
  </w:style>
  <w:style w:type="table" w:customStyle="1" w:styleId="Style15">
    <w:name w:val="Style15"/>
    <w:basedOn w:val="TableNormal"/>
    <w:rPr>
      <w:rFonts w:ascii="Times New Roman" w:eastAsia="Times New Roman" w:hAnsi="Times New Roman"/>
    </w:rPr>
    <w:tblPr/>
  </w:style>
  <w:style w:type="table" w:customStyle="1" w:styleId="Style16">
    <w:name w:val="Style16"/>
    <w:basedOn w:val="TableNormal"/>
    <w:rPr>
      <w:rFonts w:ascii="Times New Roman" w:eastAsia="Times New Roman" w:hAnsi="Times New Roman"/>
    </w:rPr>
    <w:tblPr/>
  </w:style>
  <w:style w:type="table" w:customStyle="1" w:styleId="Style17">
    <w:name w:val="Style17"/>
    <w:basedOn w:val="TableNormal"/>
    <w:rPr>
      <w:rFonts w:ascii="Times New Roman" w:eastAsia="Times New Roman" w:hAnsi="Times New Roman"/>
    </w:rPr>
    <w:tblPr/>
  </w:style>
  <w:style w:type="table" w:customStyle="1" w:styleId="Style18">
    <w:name w:val="Style18"/>
    <w:basedOn w:val="TableNormal"/>
    <w:rPr>
      <w:rFonts w:ascii="Times New Roman" w:eastAsia="Times New Roman" w:hAnsi="Times New Roman"/>
    </w:rPr>
    <w:tblPr/>
  </w:style>
  <w:style w:type="table" w:customStyle="1" w:styleId="Style19">
    <w:name w:val="Style19"/>
    <w:basedOn w:val="TableNormal"/>
    <w:rPr>
      <w:rFonts w:ascii="Times New Roman" w:eastAsia="Times New Roman" w:hAnsi="Times New Roman"/>
    </w:rPr>
    <w:tblPr/>
  </w:style>
  <w:style w:type="table" w:customStyle="1" w:styleId="Style110">
    <w:name w:val="Style110"/>
    <w:basedOn w:val="TableNormal"/>
    <w:rPr>
      <w:rFonts w:ascii="Times New Roman" w:eastAsia="Times New Roman" w:hAnsi="Times New Roman"/>
    </w:rPr>
    <w:tblPr/>
  </w:style>
  <w:style w:type="table" w:customStyle="1" w:styleId="Style111">
    <w:name w:val="Style111"/>
    <w:basedOn w:val="TableNormal"/>
    <w:rPr>
      <w:rFonts w:ascii="Times New Roman" w:eastAsia="Times New Roman" w:hAnsi="Times New Roman"/>
    </w:rPr>
    <w:tbl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unhideWhenUsed/>
    <w:rPr>
      <w:sz w:val="20"/>
    </w:rPr>
  </w:style>
  <w:style w:type="character" w:customStyle="1" w:styleId="CommentTextChar">
    <w:name w:val="Comment Text Char"/>
    <w:link w:val="CommentText"/>
    <w:uiPriority w:val="99"/>
    <w:rPr>
      <w:rFonts w:ascii="Times New Roman" w:eastAsia="Times New Roman" w:hAnsi="Times New Roman" w:cs="Times New Roman"/>
      <w:sz w:val="20"/>
      <w:szCs w:val="20"/>
    </w:rPr>
  </w:style>
  <w:style w:type="table" w:customStyle="1" w:styleId="Style112">
    <w:name w:val="Style112"/>
    <w:basedOn w:val="TableNormal"/>
    <w:rPr>
      <w:rFonts w:ascii="Times New Roman" w:eastAsia="Times New Roman" w:hAnsi="Times New Roman"/>
    </w:rPr>
    <w:tblPr/>
  </w:style>
  <w:style w:type="table" w:customStyle="1" w:styleId="Style113">
    <w:name w:val="Style113"/>
    <w:basedOn w:val="TableNormal"/>
    <w:rPr>
      <w:rFonts w:ascii="Times New Roman" w:eastAsia="Times New Roman" w:hAnsi="Times New Roman"/>
    </w:rPr>
    <w:tblPr/>
  </w:style>
  <w:style w:type="table" w:customStyle="1" w:styleId="Style114">
    <w:name w:val="Style114"/>
    <w:basedOn w:val="TableNormal"/>
    <w:rPr>
      <w:rFonts w:ascii="Times New Roman" w:eastAsia="Times New Roman" w:hAnsi="Times New Roman"/>
    </w:rPr>
    <w:tblPr/>
  </w:style>
  <w:style w:type="table" w:customStyle="1" w:styleId="Style115">
    <w:name w:val="Style115"/>
    <w:basedOn w:val="TableNormal"/>
    <w:rPr>
      <w:rFonts w:ascii="Times New Roman" w:eastAsia="Times New Roman" w:hAnsi="Times New Roman"/>
    </w:rPr>
    <w:tblPr/>
  </w:style>
  <w:style w:type="table" w:customStyle="1" w:styleId="Style116">
    <w:name w:val="Style116"/>
    <w:basedOn w:val="TableNormal"/>
    <w:rPr>
      <w:rFonts w:ascii="Times New Roman" w:eastAsia="Times New Roman" w:hAnsi="Times New Roman"/>
    </w:rPr>
    <w:tblPr/>
  </w:style>
  <w:style w:type="table" w:customStyle="1" w:styleId="Style117">
    <w:name w:val="Style117"/>
    <w:basedOn w:val="TableNormal"/>
    <w:rPr>
      <w:rFonts w:ascii="Times New Roman" w:eastAsia="Times New Roman" w:hAnsi="Times New Roman"/>
    </w:rPr>
    <w:tblPr/>
  </w:style>
  <w:style w:type="table" w:customStyle="1" w:styleId="Style118">
    <w:name w:val="Style118"/>
    <w:basedOn w:val="TableNormal"/>
    <w:rPr>
      <w:rFonts w:ascii="Times New Roman" w:eastAsia="Times New Roman" w:hAnsi="Times New Roman"/>
    </w:rPr>
    <w:tblPr/>
  </w:style>
  <w:style w:type="table" w:customStyle="1" w:styleId="Style119">
    <w:name w:val="Style119"/>
    <w:basedOn w:val="TableNormal"/>
    <w:rPr>
      <w:rFonts w:ascii="Times New Roman" w:eastAsia="Times New Roman" w:hAnsi="Times New Roman"/>
    </w:rPr>
    <w:tblPr/>
  </w:style>
  <w:style w:type="table" w:customStyle="1" w:styleId="Style120">
    <w:name w:val="Style120"/>
    <w:basedOn w:val="TableNormal"/>
    <w:rPr>
      <w:rFonts w:ascii="Times New Roman" w:eastAsia="Times New Roman" w:hAnsi="Times New Roman"/>
    </w:rPr>
    <w:tblPr/>
  </w:style>
  <w:style w:type="table" w:customStyle="1" w:styleId="Style121">
    <w:name w:val="Style121"/>
    <w:basedOn w:val="TableNormal"/>
    <w:rPr>
      <w:rFonts w:ascii="Times New Roman" w:eastAsia="Times New Roman" w:hAnsi="Times New Roman"/>
    </w:rPr>
    <w:tblPr/>
  </w:style>
  <w:style w:type="table" w:customStyle="1" w:styleId="Style122">
    <w:name w:val="Style122"/>
    <w:basedOn w:val="TableNormal"/>
    <w:rPr>
      <w:rFonts w:ascii="Times New Roman" w:eastAsia="Times New Roman" w:hAnsi="Times New Roman"/>
    </w:rPr>
    <w:tblPr/>
  </w:style>
  <w:style w:type="table" w:customStyle="1" w:styleId="Style123">
    <w:name w:val="Style123"/>
    <w:basedOn w:val="TableNormal"/>
    <w:rPr>
      <w:rFonts w:ascii="Times New Roman" w:eastAsia="Times New Roman" w:hAnsi="Times New Roman"/>
    </w:rPr>
    <w:tblPr/>
  </w:style>
  <w:style w:type="table" w:customStyle="1" w:styleId="Style124">
    <w:name w:val="Style124"/>
    <w:basedOn w:val="TableNormal"/>
    <w:rPr>
      <w:rFonts w:ascii="Times New Roman" w:eastAsia="Times New Roman" w:hAnsi="Times New Roman"/>
    </w:rPr>
    <w:tblPr/>
  </w:style>
  <w:style w:type="table" w:customStyle="1" w:styleId="Style125">
    <w:name w:val="Style125"/>
    <w:basedOn w:val="TableNormal"/>
    <w:rPr>
      <w:rFonts w:ascii="Times New Roman" w:eastAsia="Times New Roman" w:hAnsi="Times New Roman"/>
    </w:rPr>
    <w:tblPr/>
  </w:style>
  <w:style w:type="table" w:customStyle="1" w:styleId="Style126">
    <w:name w:val="Style126"/>
    <w:basedOn w:val="TableNormal"/>
    <w:rPr>
      <w:rFonts w:ascii="Times New Roman" w:eastAsia="Times New Roman" w:hAnsi="Times New Roman"/>
    </w:rPr>
    <w:tblPr/>
  </w:style>
  <w:style w:type="table" w:customStyle="1" w:styleId="Style127">
    <w:name w:val="Style127"/>
    <w:basedOn w:val="TableNormal"/>
    <w:rPr>
      <w:rFonts w:ascii="Times New Roman" w:eastAsia="Times New Roman" w:hAnsi="Times New Roman"/>
    </w:rPr>
    <w:tblPr/>
  </w:style>
  <w:style w:type="character" w:customStyle="1" w:styleId="Heading1Char">
    <w:name w:val="Heading 1 Char"/>
    <w:link w:val="Heading1"/>
    <w:uiPriority w:val="9"/>
    <w:rPr>
      <w:rFonts w:ascii="Arial" w:eastAsia="SimSun" w:hAnsi="Arial" w:cs="Times New Roman"/>
      <w:bCs/>
      <w:color w:val="A6A6A6"/>
      <w:sz w:val="24"/>
      <w:szCs w:val="28"/>
    </w:rPr>
  </w:style>
  <w:style w:type="paragraph" w:styleId="TOC8">
    <w:name w:val="toc 8"/>
    <w:basedOn w:val="Normal"/>
    <w:next w:val="Normal"/>
    <w:autoRedefine/>
    <w:uiPriority w:val="39"/>
    <w:semiHidden/>
    <w:unhideWhenUsed/>
    <w:pPr>
      <w:spacing w:after="100"/>
      <w:ind w:left="1680"/>
    </w:pPr>
  </w:style>
  <w:style w:type="paragraph" w:styleId="TOC1">
    <w:name w:val="toc 1"/>
    <w:basedOn w:val="Normal"/>
    <w:next w:val="Normal"/>
    <w:link w:val="TOC1Char"/>
    <w:autoRedefine/>
    <w:uiPriority w:val="39"/>
    <w:unhideWhenUsed/>
    <w:pPr>
      <w:tabs>
        <w:tab w:val="right" w:leader="dot" w:pos="9062"/>
      </w:tabs>
      <w:spacing w:after="100"/>
    </w:pPr>
    <w:rPr>
      <w:rFonts w:ascii="Arial" w:hAnsi="Arial" w:cs="Arial"/>
      <w:noProof/>
      <w:sz w:val="20"/>
    </w:rPr>
  </w:style>
  <w:style w:type="character" w:styleId="FollowedHyperlink">
    <w:name w:val="FollowedHyperlink"/>
    <w:uiPriority w:val="99"/>
    <w:semiHidden/>
    <w:unhideWhenUsed/>
    <w:rPr>
      <w:color w:val="800080"/>
      <w:u w:val="single"/>
    </w:rPr>
  </w:style>
  <w:style w:type="paragraph" w:customStyle="1" w:styleId="c01pointnumerotealtn">
    <w:name w:val="c01pointnumerotealtn"/>
    <w:basedOn w:val="Normal"/>
    <w:pPr>
      <w:spacing w:before="100" w:beforeAutospacing="1"/>
      <w:ind w:left="567" w:hanging="539"/>
    </w:pPr>
    <w:rPr>
      <w:szCs w:val="24"/>
      <w:lang w:eastAsia="en-GB"/>
    </w:rPr>
  </w:style>
  <w:style w:type="character" w:customStyle="1" w:styleId="at25">
    <w:name w:val="a__t25"/>
    <w:basedOn w:val="DefaultParagraphFont"/>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rPr>
  </w:style>
  <w:style w:type="paragraph" w:styleId="NormalWeb">
    <w:name w:val="Normal (Web)"/>
    <w:basedOn w:val="Normal"/>
    <w:uiPriority w:val="99"/>
    <w:unhideWhenUsed/>
    <w:rPr>
      <w:szCs w:val="24"/>
    </w:rPr>
  </w:style>
  <w:style w:type="paragraph" w:customStyle="1" w:styleId="Lijstje3">
    <w:name w:val="Lijstje 3"/>
    <w:basedOn w:val="Lijstje2"/>
    <w:uiPriority w:val="1"/>
    <w:unhideWhenUsed/>
    <w:locked/>
    <w:pPr>
      <w:numPr>
        <w:numId w:val="0"/>
      </w:numPr>
      <w:tabs>
        <w:tab w:val="num" w:pos="765"/>
      </w:tabs>
      <w:spacing w:after="200"/>
      <w:ind w:left="1069" w:hanging="283"/>
    </w:pPr>
  </w:style>
  <w:style w:type="character" w:customStyle="1" w:styleId="st">
    <w:name w:val="st"/>
    <w:basedOn w:val="DefaultParagraphFont"/>
  </w:style>
  <w:style w:type="character" w:customStyle="1" w:styleId="prdnormal">
    <w:name w:val="prdnormal"/>
    <w:basedOn w:val="DefaultParagraphFont"/>
  </w:style>
  <w:style w:type="character" w:styleId="Emphasis">
    <w:name w:val="Emphasis"/>
    <w:uiPriority w:val="20"/>
    <w:qFormat/>
    <w:rPr>
      <w:i/>
      <w:iCs/>
    </w:rPr>
  </w:style>
  <w:style w:type="paragraph" w:styleId="ListBullet">
    <w:name w:val="List Bullet"/>
    <w:basedOn w:val="Normal"/>
    <w:pPr>
      <w:numPr>
        <w:numId w:val="8"/>
      </w:numPr>
    </w:pPr>
    <w:rPr>
      <w:rFonts w:ascii="Arial" w:hAnsi="Arial"/>
      <w:sz w:val="22"/>
    </w:rPr>
  </w:style>
  <w:style w:type="paragraph" w:styleId="Signature">
    <w:name w:val="Signature"/>
    <w:basedOn w:val="Normal"/>
    <w:link w:val="SignatureChar"/>
    <w:uiPriority w:val="99"/>
    <w:semiHidden/>
    <w:unhideWhenUsed/>
    <w:pPr>
      <w:spacing w:after="0"/>
      <w:ind w:left="4252"/>
    </w:pPr>
  </w:style>
  <w:style w:type="character" w:customStyle="1" w:styleId="SignatureChar">
    <w:name w:val="Signature Char"/>
    <w:link w:val="Signature"/>
    <w:uiPriority w:val="99"/>
    <w:semiHidden/>
    <w:rPr>
      <w:rFonts w:ascii="Times New Roman" w:eastAsia="Times New Roman" w:hAnsi="Times New Roman" w:cs="Times New Roman"/>
      <w:sz w:val="24"/>
      <w:szCs w:val="20"/>
    </w:rPr>
  </w:style>
  <w:style w:type="paragraph" w:styleId="Revision">
    <w:name w:val="Revision"/>
    <w:hidden/>
    <w:uiPriority w:val="99"/>
    <w:semiHidden/>
    <w:rPr>
      <w:rFonts w:ascii="Times New Roman" w:eastAsia="Times New Roman" w:hAnsi="Times New Roman"/>
      <w:sz w:val="24"/>
      <w:lang w:eastAsia="en-US" w:bidi="ar-SA"/>
    </w:rPr>
  </w:style>
  <w:style w:type="character" w:customStyle="1" w:styleId="f1">
    <w:name w:val="f1"/>
    <w:rPr>
      <w:color w:val="666666"/>
    </w:rPr>
  </w:style>
  <w:style w:type="character" w:customStyle="1" w:styleId="st1">
    <w:name w:val="st1"/>
    <w:basedOn w:val="DefaultParagraphFont"/>
  </w:style>
  <w:style w:type="character" w:styleId="Strong">
    <w:name w:val="Strong"/>
    <w:uiPriority w:val="22"/>
    <w:qFormat/>
    <w:rPr>
      <w:b/>
      <w:bCs/>
    </w:rPr>
  </w:style>
  <w:style w:type="character" w:styleId="SubtleEmphasis">
    <w:name w:val="Subtle Emphasis"/>
    <w:uiPriority w:val="19"/>
    <w:qFormat/>
    <w:rPr>
      <w:i/>
      <w:iCs/>
      <w:color w:val="808080"/>
    </w:rPr>
  </w:style>
  <w:style w:type="character" w:customStyle="1" w:styleId="Marker">
    <w:name w:val="Marker"/>
    <w:rPr>
      <w:color w:val="0000FF"/>
      <w:shd w:val="clear" w:color="auto" w:fill="auto"/>
    </w:rPr>
  </w:style>
  <w:style w:type="paragraph" w:customStyle="1" w:styleId="Pagedecouverture">
    <w:name w:val="Page de couverture"/>
    <w:basedOn w:val="Normal"/>
    <w:next w:val="Normal"/>
    <w:pPr>
      <w:spacing w:after="0"/>
    </w:pPr>
    <w:rPr>
      <w:rFonts w:eastAsia="Calibri"/>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TOC1Char">
    <w:name w:val="TOC 1 Char"/>
    <w:link w:val="TOC1"/>
    <w:uiPriority w:val="39"/>
    <w:rPr>
      <w:rFonts w:ascii="Arial" w:eastAsia="Times New Roman" w:hAnsi="Arial" w:cs="Arial"/>
      <w:noProof/>
      <w:lang w:eastAsia="en-US" w:bidi="ar-SA"/>
    </w:rPr>
  </w:style>
  <w:style w:type="character" w:customStyle="1" w:styleId="FooterCoverPageChar">
    <w:name w:val="Footer Cover Page Char"/>
    <w:link w:val="FooterCoverPage"/>
    <w:rPr>
      <w:rFonts w:ascii="Times New Roman" w:eastAsia="Times New Roman" w:hAnsi="Times New Roman"/>
      <w:sz w:val="24"/>
      <w:lang w:eastAsia="en-US" w:bidi="ar-SA"/>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link w:val="HeaderCoverPage"/>
    <w:rPr>
      <w:rFonts w:ascii="Times New Roman" w:eastAsia="Times New Roman" w:hAnsi="Times New Roman"/>
      <w:sz w:val="24"/>
      <w:lang w:eastAsia="en-US" w:bidi="ar-SA"/>
    </w:rPr>
  </w:style>
  <w:style w:type="paragraph" w:styleId="BodyText3">
    <w:name w:val="Body Text 3"/>
    <w:basedOn w:val="Normal"/>
    <w:link w:val="BodyText3Char"/>
    <w:pPr>
      <w:spacing w:after="120"/>
    </w:pPr>
    <w:rPr>
      <w:rFonts w:ascii="Arial" w:hAnsi="Arial"/>
      <w:sz w:val="16"/>
    </w:rPr>
  </w:style>
  <w:style w:type="character" w:customStyle="1" w:styleId="BodyText3Char">
    <w:name w:val="Body Text 3 Char"/>
    <w:link w:val="BodyText3"/>
    <w:rPr>
      <w:rFonts w:ascii="Arial" w:eastAsia="Times New Roman" w:hAnsi="Arial" w:cs="Times New Roman"/>
      <w:sz w:val="16"/>
      <w:szCs w:val="20"/>
    </w:rPr>
  </w:style>
  <w:style w:type="character" w:customStyle="1" w:styleId="Heading3Char">
    <w:name w:val="Heading 3 Char"/>
    <w:link w:val="Heading3"/>
    <w:uiPriority w:val="9"/>
    <w:semiHidden/>
    <w:rPr>
      <w:rFonts w:ascii="Cambria" w:eastAsia="SimSun" w:hAnsi="Cambria" w:cs="Times New Roman"/>
      <w:b/>
      <w:bCs/>
      <w:color w:val="4F81BD"/>
      <w:sz w:val="24"/>
      <w:szCs w:val="20"/>
    </w:rPr>
  </w:style>
  <w:style w:type="paragraph" w:customStyle="1" w:styleId="Default">
    <w:name w:val="Default"/>
    <w:pPr>
      <w:autoSpaceDE w:val="0"/>
      <w:autoSpaceDN w:val="0"/>
      <w:adjustRightInd w:val="0"/>
    </w:pPr>
    <w:rPr>
      <w:rFonts w:ascii="Arial" w:hAnsi="Arial" w:cs="Arial"/>
      <w:color w:val="000000"/>
      <w:sz w:val="24"/>
      <w:szCs w:val="24"/>
      <w:lang w:eastAsia="en-US" w:bidi="ar-SA"/>
    </w:rPr>
  </w:style>
  <w:style w:type="paragraph" w:customStyle="1" w:styleId="c08dispositif">
    <w:name w:val="c08dispositif"/>
    <w:basedOn w:val="Normal"/>
    <w:pPr>
      <w:spacing w:before="100" w:beforeAutospacing="1"/>
      <w:ind w:left="1134" w:hanging="567"/>
    </w:pPr>
    <w:rPr>
      <w:rFonts w:eastAsia="Calibri"/>
      <w:b/>
      <w:bCs/>
      <w:szCs w:val="24"/>
      <w:lang w:eastAsia="en-GB"/>
    </w:rPr>
  </w:style>
  <w:style w:type="paragraph" w:customStyle="1" w:styleId="Contact">
    <w:name w:val="Contact"/>
    <w:basedOn w:val="Normal"/>
    <w:next w:val="Normal"/>
    <w:pPr>
      <w:spacing w:after="480"/>
      <w:ind w:left="567" w:hanging="567"/>
      <w:jc w:val="left"/>
    </w:pPr>
  </w:style>
  <w:style w:type="paragraph" w:customStyle="1" w:styleId="Declassification">
    <w:name w:val="Declassification"/>
    <w:basedOn w:val="Normal"/>
    <w:next w:val="Normal"/>
    <w:pPr>
      <w:spacing w:after="0"/>
    </w:pPr>
    <w:rPr>
      <w:rFonts w:eastAsia="Calibri"/>
      <w:szCs w:val="22"/>
    </w:rPr>
  </w:style>
  <w:style w:type="paragraph" w:customStyle="1" w:styleId="HeaderLandscape">
    <w:name w:val="HeaderLandscape"/>
    <w:basedOn w:val="Normal"/>
    <w:pPr>
      <w:tabs>
        <w:tab w:val="center" w:pos="7285"/>
        <w:tab w:val="right" w:pos="14003"/>
      </w:tabs>
      <w:spacing w:after="120"/>
    </w:pPr>
    <w:rPr>
      <w:rFonts w:eastAsia="Calibri"/>
      <w:szCs w:val="22"/>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Calibri"/>
      <w:szCs w:val="2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paragraph" w:customStyle="1" w:styleId="Text3">
    <w:name w:val="Text 3"/>
    <w:basedOn w:val="Normal"/>
    <w:pPr>
      <w:tabs>
        <w:tab w:val="left" w:pos="2302"/>
      </w:tabs>
      <w:ind w:left="1202"/>
    </w:pPr>
    <w:rPr>
      <w:rFonts w:ascii="Arial" w:hAnsi="Arial"/>
      <w:sz w:val="22"/>
    </w:rPr>
  </w:style>
  <w:style w:type="character" w:customStyle="1" w:styleId="bluetext11">
    <w:name w:val="bluetext11"/>
    <w:basedOn w:val="DefaultParagraphFont"/>
  </w:style>
  <w:style w:type="paragraph" w:customStyle="1" w:styleId="AnnualReport1">
    <w:name w:val="Annual Report §1"/>
    <w:basedOn w:val="Normal"/>
    <w:link w:val="AnnualReport1Char"/>
    <w:qFormat/>
    <w:pPr>
      <w:keepNext/>
      <w:keepLines/>
      <w:numPr>
        <w:numId w:val="3"/>
      </w:numPr>
      <w:spacing w:before="360" w:after="120"/>
      <w:outlineLvl w:val="1"/>
    </w:pPr>
    <w:rPr>
      <w:rFonts w:ascii="Arial" w:eastAsia="MS Gothic" w:hAnsi="Arial" w:cs="Arial"/>
      <w:caps/>
      <w:color w:val="4F81BD"/>
      <w:kern w:val="20"/>
      <w:szCs w:val="24"/>
    </w:rPr>
  </w:style>
  <w:style w:type="paragraph" w:customStyle="1" w:styleId="AnnualReport2">
    <w:name w:val="Annual Report §2"/>
    <w:basedOn w:val="Normal"/>
    <w:link w:val="AnnualReport2Char"/>
    <w:qFormat/>
    <w:pPr>
      <w:spacing w:before="240"/>
      <w:ind w:left="786" w:hanging="360"/>
      <w:jc w:val="left"/>
      <w:outlineLvl w:val="1"/>
    </w:pPr>
    <w:rPr>
      <w:rFonts w:ascii="Arial" w:hAnsi="Arial"/>
      <w:color w:val="002060"/>
      <w:sz w:val="22"/>
      <w:szCs w:val="22"/>
    </w:rPr>
  </w:style>
  <w:style w:type="character" w:customStyle="1" w:styleId="AnnualReport1Char">
    <w:name w:val="Annual Report §1 Char"/>
    <w:link w:val="AnnualReport1"/>
    <w:rPr>
      <w:rFonts w:ascii="Arial" w:eastAsia="MS Gothic" w:hAnsi="Arial" w:cs="Arial"/>
      <w:caps/>
      <w:color w:val="4F81BD"/>
      <w:kern w:val="20"/>
      <w:sz w:val="24"/>
      <w:szCs w:val="24"/>
    </w:rPr>
  </w:style>
  <w:style w:type="character" w:customStyle="1" w:styleId="AnnualReport2Char">
    <w:name w:val="Annual Report §2 Char"/>
    <w:link w:val="AnnualReport2"/>
    <w:rPr>
      <w:rFonts w:ascii="Arial" w:eastAsia="Times New Roman" w:hAnsi="Arial" w:cs="Times New Roman"/>
      <w:color w:val="002060"/>
    </w:rPr>
  </w:style>
  <w:style w:type="character" w:customStyle="1" w:styleId="Heading2Char">
    <w:name w:val="Heading 2 Char"/>
    <w:link w:val="Heading2"/>
    <w:rPr>
      <w:rFonts w:ascii="Arial" w:eastAsia="Times New Roman" w:hAnsi="Arial" w:cs="Times New Roman"/>
      <w:b/>
      <w:szCs w:val="20"/>
    </w:rPr>
  </w:style>
  <w:style w:type="character" w:customStyle="1" w:styleId="Heading4Char">
    <w:name w:val="Heading 4 Char"/>
    <w:link w:val="Heading4"/>
    <w:rPr>
      <w:rFonts w:ascii="Arial" w:eastAsia="Times New Roman" w:hAnsi="Arial" w:cs="Times New Roman"/>
      <w:szCs w:val="20"/>
    </w:rPr>
  </w:style>
  <w:style w:type="paragraph" w:customStyle="1" w:styleId="Text4">
    <w:name w:val="Text 4"/>
    <w:basedOn w:val="Normal"/>
    <w:pPr>
      <w:tabs>
        <w:tab w:val="left" w:pos="2302"/>
      </w:tabs>
      <w:ind w:left="1202"/>
    </w:pPr>
    <w:rPr>
      <w:rFonts w:ascii="Arial" w:hAnsi="Arial"/>
      <w:sz w:val="22"/>
    </w:rPr>
  </w:style>
  <w:style w:type="paragraph" w:styleId="EndnoteText">
    <w:name w:val="endnote text"/>
    <w:basedOn w:val="Normal"/>
    <w:link w:val="EndnoteTextChar"/>
    <w:uiPriority w:val="99"/>
    <w:semiHidden/>
    <w:unhideWhenUsed/>
    <w:pPr>
      <w:spacing w:after="0"/>
    </w:pPr>
    <w:rPr>
      <w:sz w:val="20"/>
    </w:rPr>
  </w:style>
  <w:style w:type="character" w:customStyle="1" w:styleId="EndnoteTextChar">
    <w:name w:val="Endnote Text Char"/>
    <w:link w:val="EndnoteText"/>
    <w:uiPriority w:val="99"/>
    <w:semiHidden/>
    <w:rPr>
      <w:rFonts w:ascii="Times New Roman" w:eastAsia="Times New Roman" w:hAnsi="Times New Roman" w:cs="Times New Roman"/>
      <w:sz w:val="20"/>
      <w:szCs w:val="20"/>
    </w:rPr>
  </w:style>
  <w:style w:type="character" w:styleId="EndnoteReference">
    <w:name w:val="endnote reference"/>
    <w:uiPriority w:val="99"/>
    <w:semiHidden/>
    <w:unhideWhenUsed/>
    <w:rPr>
      <w:vertAlign w:val="superscript"/>
    </w:rPr>
  </w:style>
  <w:style w:type="paragraph" w:styleId="ListNumber5">
    <w:name w:val="List Number 5"/>
    <w:basedOn w:val="Normal"/>
    <w:pPr>
      <w:numPr>
        <w:numId w:val="212"/>
      </w:numPr>
    </w:pPr>
    <w:rPr>
      <w:szCs w:val="22"/>
      <w:lang w:eastAsia="en-GB"/>
    </w:rPr>
  </w:style>
  <w:style w:type="paragraph" w:customStyle="1" w:styleId="Basis">
    <w:name w:val="Basis"/>
    <w:basedOn w:val="Normal"/>
    <w:link w:val="BasisChar"/>
    <w:qFormat/>
    <w:pPr>
      <w:ind w:left="720"/>
    </w:pPr>
    <w:rPr>
      <w:rFonts w:ascii="Verdana" w:hAnsi="Verdana"/>
      <w:sz w:val="20"/>
      <w:szCs w:val="22"/>
      <w:lang w:val="en-US" w:eastAsia="en-GB"/>
    </w:rPr>
  </w:style>
  <w:style w:type="character" w:customStyle="1" w:styleId="BasisChar">
    <w:name w:val="Basis Char"/>
    <w:link w:val="Basis"/>
    <w:rPr>
      <w:rFonts w:ascii="Verdana" w:eastAsia="Times New Roman" w:hAnsi="Verdana"/>
      <w:szCs w:val="22"/>
      <w:lang w:val="en-US"/>
    </w:rPr>
  </w:style>
  <w:style w:type="character" w:customStyle="1" w:styleId="bold">
    <w:name w:val="bold"/>
  </w:style>
  <w:style w:type="paragraph" w:customStyle="1" w:styleId="ListBullet1">
    <w:name w:val="List Bullet 1"/>
    <w:basedOn w:val="Normal"/>
    <w:pPr>
      <w:numPr>
        <w:numId w:val="23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th-TH"/>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List Bullet" w:uiPriority="0"/>
    <w:lsdException w:name="List Number 5" w:uiPriority="0"/>
    <w:lsdException w:name="Title" w:semiHidden="0" w:uiPriority="10" w:unhideWhenUsed="0" w:qFormat="1"/>
    <w:lsdException w:name="Default Paragraph Font" w:uiPriority="1"/>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240"/>
      <w:jc w:val="both"/>
    </w:pPr>
    <w:rPr>
      <w:rFonts w:ascii="Times New Roman" w:eastAsia="Times New Roman" w:hAnsi="Times New Roman"/>
      <w:sz w:val="24"/>
      <w:lang w:eastAsia="en-US" w:bidi="ar-SA"/>
    </w:rPr>
  </w:style>
  <w:style w:type="paragraph" w:styleId="Heading1">
    <w:name w:val="heading 1"/>
    <w:basedOn w:val="MemberStateHeader"/>
    <w:next w:val="Subtitle"/>
    <w:link w:val="Heading1Char"/>
    <w:uiPriority w:val="9"/>
    <w:qFormat/>
    <w:pPr>
      <w:keepNext/>
      <w:keepLines/>
      <w:outlineLvl w:val="0"/>
    </w:pPr>
    <w:rPr>
      <w:rFonts w:eastAsia="SimSun"/>
      <w:bCs/>
      <w:color w:val="A6A6A6"/>
      <w:szCs w:val="28"/>
    </w:rPr>
  </w:style>
  <w:style w:type="paragraph" w:styleId="Heading2">
    <w:name w:val="heading 2"/>
    <w:basedOn w:val="Normal"/>
    <w:next w:val="Normal"/>
    <w:link w:val="Heading2Char"/>
    <w:pPr>
      <w:keepNext/>
      <w:tabs>
        <w:tab w:val="num" w:pos="1200"/>
      </w:tabs>
      <w:ind w:left="1200" w:hanging="720"/>
      <w:outlineLvl w:val="1"/>
    </w:pPr>
    <w:rPr>
      <w:rFonts w:ascii="Arial" w:hAnsi="Arial"/>
      <w:b/>
      <w:sz w:val="22"/>
    </w:rPr>
  </w:style>
  <w:style w:type="paragraph" w:styleId="Heading3">
    <w:name w:val="heading 3"/>
    <w:basedOn w:val="Normal"/>
    <w:next w:val="Normal"/>
    <w:link w:val="Heading3Char"/>
    <w:unhideWhenUsed/>
    <w:qFormat/>
    <w:pPr>
      <w:keepNext/>
      <w:keepLines/>
      <w:spacing w:before="200" w:after="0"/>
      <w:outlineLvl w:val="2"/>
    </w:pPr>
    <w:rPr>
      <w:rFonts w:ascii="Cambria" w:eastAsia="SimSun" w:hAnsi="Cambria"/>
      <w:b/>
      <w:bCs/>
      <w:color w:val="4F81BD"/>
    </w:rPr>
  </w:style>
  <w:style w:type="paragraph" w:styleId="Heading4">
    <w:name w:val="heading 4"/>
    <w:basedOn w:val="Normal"/>
    <w:next w:val="Normal"/>
    <w:link w:val="Heading4Char"/>
    <w:pPr>
      <w:keepNext/>
      <w:tabs>
        <w:tab w:val="num" w:pos="1920"/>
      </w:tabs>
      <w:ind w:left="1920" w:hanging="720"/>
      <w:outlineLvl w:val="3"/>
    </w:pPr>
    <w:rPr>
      <w:rFonts w:ascii="Arial" w:hAnsi="Arial"/>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Fußnote,Fotnotstext1,fn,Footnote Text Char2 Char,Footnote Text Char Char Char1,Footnote Text Char1 Char Char Char,Footnote Text Char2 Char Char Char Char,Footnote Text Char1 Char1 Char Char Char Char,footnote te,Voetnootteks,f,Ch"/>
    <w:basedOn w:val="Normal"/>
    <w:qFormat/>
    <w:pPr>
      <w:spacing w:after="0"/>
      <w:ind w:left="357" w:hanging="357"/>
    </w:pPr>
    <w:rPr>
      <w:rFonts w:ascii="Arial" w:hAnsi="Arial"/>
      <w:sz w:val="18"/>
    </w:rPr>
  </w:style>
  <w:style w:type="character" w:customStyle="1" w:styleId="FootnoteTextChar">
    <w:name w:val="Footnote Text Char"/>
    <w:aliases w:val="Footnote Char,Fußnote Char,Fotnotstext1 Char,fn Char,Footnote Text Char2 Char Char,Footnote Text Char Char Char1 Char,Footnote Text Char1 Char Char Char Char,Footnote Text Char2 Char Char Char Char Char,footnote te Char,f Char,Ch Char"/>
    <w:rPr>
      <w:rFonts w:ascii="Arial" w:eastAsia="Times New Roman" w:hAnsi="Arial" w:cs="Times New Roman"/>
      <w:sz w:val="18"/>
      <w:szCs w:val="20"/>
    </w:rPr>
  </w:style>
  <w:style w:type="character" w:styleId="FootnoteReference">
    <w:name w:val="footnote reference"/>
    <w:aliases w:val="Footnote number,Footnote symbol,fr,o,de nota al pie,Ref,Char,SUPERS,Voetnootmarkering,Char1,Nota,(NECG) Footnote Reference, Char, Char1,Ref Char,de nota al pie Char,Footnote number Char,Footnote symbol Char,note TESI Char,Nota Char,FR"/>
    <w:uiPriority w:val="99"/>
    <w:qFormat/>
    <w:rPr>
      <w:vertAlign w:val="superscript"/>
    </w:rPr>
  </w:style>
  <w:style w:type="paragraph" w:customStyle="1" w:styleId="Body">
    <w:name w:val="Body"/>
    <w:basedOn w:val="Normal"/>
    <w:link w:val="BodyChar"/>
    <w:qFormat/>
    <w:pPr>
      <w:spacing w:after="120"/>
      <w:ind w:firstLine="709"/>
    </w:pPr>
    <w:rPr>
      <w:rFonts w:ascii="Arial" w:hAnsi="Arial" w:cs="Arial"/>
      <w:sz w:val="20"/>
      <w:lang w:val="en-US"/>
    </w:rPr>
  </w:style>
  <w:style w:type="character" w:customStyle="1" w:styleId="BodyChar">
    <w:name w:val="Body Char"/>
    <w:link w:val="Body"/>
    <w:rPr>
      <w:rFonts w:ascii="Arial" w:eastAsia="Times New Roman" w:hAnsi="Arial" w:cs="Arial"/>
      <w:sz w:val="20"/>
      <w:szCs w:val="20"/>
      <w:lang w:val="en-US"/>
    </w:rPr>
  </w:style>
  <w:style w:type="paragraph" w:customStyle="1" w:styleId="kop2">
    <w:name w:val="kop 2"/>
    <w:basedOn w:val="Normal"/>
    <w:next w:val="Normal"/>
    <w:link w:val="kop2Char"/>
    <w:uiPriority w:val="1"/>
    <w:unhideWhenUsed/>
    <w:qFormat/>
    <w:pPr>
      <w:keepNext/>
      <w:keepLines/>
      <w:spacing w:after="120"/>
      <w:ind w:left="360" w:hanging="360"/>
      <w:outlineLvl w:val="1"/>
    </w:pPr>
    <w:rPr>
      <w:rFonts w:ascii="Arial" w:eastAsia="MS Gothic" w:hAnsi="Arial" w:cs="Arial"/>
      <w:caps/>
      <w:color w:val="4F81BD"/>
      <w:kern w:val="20"/>
      <w:szCs w:val="24"/>
    </w:rPr>
  </w:style>
  <w:style w:type="paragraph" w:customStyle="1" w:styleId="kop3">
    <w:name w:val="kop 3"/>
    <w:basedOn w:val="Subtitle"/>
    <w:next w:val="Normal"/>
    <w:link w:val="kop3Char"/>
    <w:autoRedefine/>
    <w:uiPriority w:val="1"/>
    <w:unhideWhenUsed/>
    <w:qFormat/>
    <w:pPr>
      <w:numPr>
        <w:ilvl w:val="0"/>
        <w:numId w:val="0"/>
      </w:numPr>
      <w:ind w:left="2869" w:hanging="180"/>
    </w:pPr>
  </w:style>
  <w:style w:type="character" w:customStyle="1" w:styleId="kop2Char">
    <w:name w:val="kop 2 Char"/>
    <w:link w:val="kop2"/>
    <w:uiPriority w:val="1"/>
    <w:rPr>
      <w:rFonts w:ascii="Arial" w:eastAsia="MS Gothic" w:hAnsi="Arial" w:cs="Arial"/>
      <w:caps/>
      <w:color w:val="4F81BD"/>
      <w:kern w:val="20"/>
      <w:sz w:val="24"/>
      <w:szCs w:val="24"/>
    </w:rPr>
  </w:style>
  <w:style w:type="character" w:customStyle="1" w:styleId="kop3Char">
    <w:name w:val="kop 3 Char"/>
    <w:link w:val="kop3"/>
    <w:uiPriority w:val="1"/>
    <w:rPr>
      <w:rFonts w:ascii="Arial" w:eastAsia="Times New Roman" w:hAnsi="Arial" w:cs="Times New Roman"/>
      <w:color w:val="002060"/>
    </w:rPr>
  </w:style>
  <w:style w:type="paragraph" w:customStyle="1" w:styleId="Lijstje">
    <w:name w:val="Lijstje"/>
    <w:basedOn w:val="NoSpacing"/>
    <w:uiPriority w:val="1"/>
    <w:unhideWhenUsed/>
    <w:qFormat/>
    <w:locked/>
    <w:pPr>
      <w:spacing w:after="120"/>
      <w:ind w:left="1845" w:hanging="705"/>
    </w:pPr>
    <w:rPr>
      <w:rFonts w:ascii="Arial" w:eastAsia="Calibri" w:hAnsi="Arial" w:cs="Arial"/>
      <w:kern w:val="20"/>
      <w:sz w:val="20"/>
    </w:rPr>
  </w:style>
  <w:style w:type="paragraph" w:customStyle="1" w:styleId="Lijstje2">
    <w:name w:val="Lijstje2"/>
    <w:basedOn w:val="ListParagraph"/>
    <w:uiPriority w:val="1"/>
    <w:unhideWhenUsed/>
    <w:qFormat/>
    <w:locked/>
    <w:pPr>
      <w:numPr>
        <w:numId w:val="2"/>
      </w:numPr>
      <w:spacing w:after="120"/>
    </w:pPr>
    <w:rPr>
      <w:rFonts w:ascii="Verdana" w:eastAsia="Calibri" w:hAnsi="Verdana"/>
      <w:kern w:val="20"/>
      <w:sz w:val="20"/>
      <w:lang w:val="nl-NL"/>
    </w:rPr>
  </w:style>
  <w:style w:type="paragraph" w:customStyle="1" w:styleId="MemberStateHeader">
    <w:name w:val="Member State Header"/>
    <w:basedOn w:val="Normal"/>
    <w:link w:val="MemberStateHeaderChar"/>
    <w:qFormat/>
    <w:pPr>
      <w:jc w:val="center"/>
    </w:pPr>
    <w:rPr>
      <w:rFonts w:ascii="Arial" w:hAnsi="Arial"/>
      <w:color w:val="BFBFBF"/>
      <w:szCs w:val="24"/>
    </w:rPr>
  </w:style>
  <w:style w:type="character" w:customStyle="1" w:styleId="MemberStateHeaderChar">
    <w:name w:val="Member State Header Char"/>
    <w:link w:val="MemberStateHeader"/>
    <w:rPr>
      <w:rFonts w:ascii="Arial" w:eastAsia="Times New Roman" w:hAnsi="Arial" w:cs="Times New Roman"/>
      <w:color w:val="BFBFBF"/>
      <w:sz w:val="24"/>
      <w:szCs w:val="24"/>
    </w:rPr>
  </w:style>
  <w:style w:type="paragraph" w:styleId="NoSpacing">
    <w:name w:val="No Spacing"/>
    <w:uiPriority w:val="1"/>
    <w:qFormat/>
    <w:pPr>
      <w:jc w:val="both"/>
    </w:pPr>
    <w:rPr>
      <w:rFonts w:ascii="Times New Roman" w:eastAsia="Times New Roman" w:hAnsi="Times New Roman"/>
      <w:sz w:val="24"/>
      <w:lang w:eastAsia="en-US" w:bidi="ar-SA"/>
    </w:r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semiHidden/>
    <w:unhideWhenUsed/>
    <w:pPr>
      <w:spacing w:after="0"/>
    </w:pPr>
    <w:rPr>
      <w:rFonts w:ascii="Tahoma" w:hAnsi="Tahoma" w:cs="Tahoma"/>
      <w:sz w:val="16"/>
      <w:szCs w:val="16"/>
    </w:rPr>
  </w:style>
  <w:style w:type="character" w:customStyle="1" w:styleId="BalloonTextChar">
    <w:name w:val="Balloon Text Char"/>
    <w:link w:val="BalloonText"/>
    <w:uiPriority w:val="99"/>
    <w:semiHidden/>
    <w:rPr>
      <w:rFonts w:ascii="Tahoma" w:eastAsia="Times New Roman" w:hAnsi="Tahoma" w:cs="Tahoma"/>
      <w:sz w:val="16"/>
      <w:szCs w:val="16"/>
    </w:rPr>
  </w:style>
  <w:style w:type="paragraph" w:styleId="Header">
    <w:name w:val="header"/>
    <w:basedOn w:val="Normal"/>
    <w:link w:val="HeaderChar"/>
    <w:uiPriority w:val="99"/>
    <w:unhideWhenUsed/>
    <w:pPr>
      <w:tabs>
        <w:tab w:val="center" w:pos="4535"/>
        <w:tab w:val="right" w:pos="9071"/>
      </w:tabs>
      <w:spacing w:after="120"/>
    </w:pPr>
    <w:rPr>
      <w:rFonts w:eastAsia="Calibri"/>
      <w:szCs w:val="22"/>
    </w:rPr>
  </w:style>
  <w:style w:type="character" w:customStyle="1" w:styleId="HeaderChar">
    <w:name w:val="Header Char"/>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rPr>
      <w:rFonts w:eastAsia="Calibri"/>
      <w:szCs w:val="22"/>
    </w:rPr>
  </w:style>
  <w:style w:type="character" w:customStyle="1" w:styleId="FooterChar">
    <w:name w:val="Footer Char"/>
    <w:link w:val="Footer"/>
    <w:uiPriority w:val="99"/>
    <w:rPr>
      <w:rFonts w:ascii="Times New Roman" w:hAnsi="Times New Roman" w:cs="Times New Roman"/>
      <w:sz w:val="24"/>
    </w:rPr>
  </w:style>
  <w:style w:type="paragraph" w:customStyle="1" w:styleId="Priorities">
    <w:name w:val="Priorities"/>
    <w:basedOn w:val="Normal"/>
    <w:link w:val="PrioritiesChar"/>
    <w:qFormat/>
    <w:pPr>
      <w:spacing w:after="200" w:line="276" w:lineRule="auto"/>
      <w:jc w:val="center"/>
    </w:pPr>
    <w:rPr>
      <w:rFonts w:ascii="Arial" w:eastAsia="Calibri" w:hAnsi="Arial" w:cs="Arial"/>
      <w:b/>
      <w:color w:val="163E71"/>
      <w:sz w:val="28"/>
      <w:szCs w:val="28"/>
    </w:rPr>
  </w:style>
  <w:style w:type="character" w:customStyle="1" w:styleId="PrioritiesChar">
    <w:name w:val="Priorities Char"/>
    <w:link w:val="Priorities"/>
    <w:rPr>
      <w:rFonts w:ascii="Arial" w:hAnsi="Arial" w:cs="Arial"/>
      <w:b/>
      <w:color w:val="163E71"/>
      <w:sz w:val="28"/>
      <w:szCs w:val="28"/>
    </w:rPr>
  </w:style>
  <w:style w:type="paragraph" w:styleId="Subtitle">
    <w:name w:val="Subtitle"/>
    <w:basedOn w:val="Normal"/>
    <w:link w:val="SubtitleChar"/>
    <w:autoRedefine/>
    <w:qFormat/>
    <w:pPr>
      <w:numPr>
        <w:ilvl w:val="2"/>
        <w:numId w:val="1"/>
      </w:numPr>
      <w:spacing w:before="240"/>
      <w:ind w:left="709" w:hanging="425"/>
      <w:jc w:val="left"/>
      <w:outlineLvl w:val="1"/>
    </w:pPr>
    <w:rPr>
      <w:rFonts w:ascii="Arial" w:hAnsi="Arial"/>
      <w:color w:val="002060"/>
      <w:sz w:val="22"/>
      <w:szCs w:val="22"/>
    </w:rPr>
  </w:style>
  <w:style w:type="character" w:customStyle="1" w:styleId="SubtitleChar">
    <w:name w:val="Subtitle Char"/>
    <w:link w:val="Subtitle"/>
    <w:rPr>
      <w:rFonts w:ascii="Arial" w:eastAsia="Times New Roman" w:hAnsi="Arial"/>
      <w:color w:val="002060"/>
      <w:sz w:val="22"/>
      <w:szCs w:val="22"/>
      <w:lang w:eastAsia="en-US" w:bidi="ar-SA"/>
    </w:rPr>
  </w:style>
  <w:style w:type="table" w:customStyle="1" w:styleId="Style1">
    <w:name w:val="Style1"/>
    <w:basedOn w:val="TableNormal"/>
    <w:rPr>
      <w:rFonts w:ascii="Times New Roman" w:eastAsia="Times New Roman" w:hAnsi="Times New Roman"/>
    </w:rPr>
    <w:tblPr/>
  </w:style>
  <w:style w:type="character" w:customStyle="1" w:styleId="affairetitle">
    <w:name w:val="affaire_title"/>
    <w:basedOn w:val="DefaultParagraphFont"/>
  </w:style>
  <w:style w:type="character" w:styleId="Hyperlink">
    <w:name w:val="Hyperlink"/>
    <w:uiPriority w:val="99"/>
    <w:unhideWhenUsed/>
    <w:rPr>
      <w:color w:val="0000FF"/>
      <w:u w:val="single"/>
    </w:rPr>
  </w:style>
  <w:style w:type="table" w:customStyle="1" w:styleId="Style11">
    <w:name w:val="Style11"/>
    <w:basedOn w:val="TableNormal"/>
    <w:rPr>
      <w:rFonts w:ascii="Times New Roman" w:eastAsia="Times New Roman" w:hAnsi="Times New Roman"/>
    </w:rPr>
    <w:tblPr/>
  </w:style>
  <w:style w:type="table" w:customStyle="1" w:styleId="Style12">
    <w:name w:val="Style12"/>
    <w:basedOn w:val="TableNormal"/>
    <w:rPr>
      <w:rFonts w:ascii="Times New Roman" w:eastAsia="Times New Roman" w:hAnsi="Times New Roman"/>
    </w:rPr>
    <w:tblPr/>
  </w:style>
  <w:style w:type="table" w:customStyle="1" w:styleId="Style13">
    <w:name w:val="Style13"/>
    <w:basedOn w:val="TableNormal"/>
    <w:rPr>
      <w:rFonts w:ascii="Times New Roman" w:eastAsia="Times New Roman" w:hAnsi="Times New Roman"/>
    </w:rPr>
    <w:tblPr/>
  </w:style>
  <w:style w:type="table" w:customStyle="1" w:styleId="Style14">
    <w:name w:val="Style14"/>
    <w:basedOn w:val="TableNormal"/>
    <w:rPr>
      <w:rFonts w:ascii="Times New Roman" w:eastAsia="Times New Roman" w:hAnsi="Times New Roman"/>
    </w:rPr>
    <w:tblPr/>
  </w:style>
  <w:style w:type="table" w:customStyle="1" w:styleId="Style15">
    <w:name w:val="Style15"/>
    <w:basedOn w:val="TableNormal"/>
    <w:rPr>
      <w:rFonts w:ascii="Times New Roman" w:eastAsia="Times New Roman" w:hAnsi="Times New Roman"/>
    </w:rPr>
    <w:tblPr/>
  </w:style>
  <w:style w:type="table" w:customStyle="1" w:styleId="Style16">
    <w:name w:val="Style16"/>
    <w:basedOn w:val="TableNormal"/>
    <w:rPr>
      <w:rFonts w:ascii="Times New Roman" w:eastAsia="Times New Roman" w:hAnsi="Times New Roman"/>
    </w:rPr>
    <w:tblPr/>
  </w:style>
  <w:style w:type="table" w:customStyle="1" w:styleId="Style17">
    <w:name w:val="Style17"/>
    <w:basedOn w:val="TableNormal"/>
    <w:rPr>
      <w:rFonts w:ascii="Times New Roman" w:eastAsia="Times New Roman" w:hAnsi="Times New Roman"/>
    </w:rPr>
    <w:tblPr/>
  </w:style>
  <w:style w:type="table" w:customStyle="1" w:styleId="Style18">
    <w:name w:val="Style18"/>
    <w:basedOn w:val="TableNormal"/>
    <w:rPr>
      <w:rFonts w:ascii="Times New Roman" w:eastAsia="Times New Roman" w:hAnsi="Times New Roman"/>
    </w:rPr>
    <w:tblPr/>
  </w:style>
  <w:style w:type="table" w:customStyle="1" w:styleId="Style19">
    <w:name w:val="Style19"/>
    <w:basedOn w:val="TableNormal"/>
    <w:rPr>
      <w:rFonts w:ascii="Times New Roman" w:eastAsia="Times New Roman" w:hAnsi="Times New Roman"/>
    </w:rPr>
    <w:tblPr/>
  </w:style>
  <w:style w:type="table" w:customStyle="1" w:styleId="Style110">
    <w:name w:val="Style110"/>
    <w:basedOn w:val="TableNormal"/>
    <w:rPr>
      <w:rFonts w:ascii="Times New Roman" w:eastAsia="Times New Roman" w:hAnsi="Times New Roman"/>
    </w:rPr>
    <w:tblPr/>
  </w:style>
  <w:style w:type="table" w:customStyle="1" w:styleId="Style111">
    <w:name w:val="Style111"/>
    <w:basedOn w:val="TableNormal"/>
    <w:rPr>
      <w:rFonts w:ascii="Times New Roman" w:eastAsia="Times New Roman" w:hAnsi="Times New Roman"/>
    </w:rPr>
    <w:tbl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unhideWhenUsed/>
    <w:rPr>
      <w:sz w:val="20"/>
    </w:rPr>
  </w:style>
  <w:style w:type="character" w:customStyle="1" w:styleId="CommentTextChar">
    <w:name w:val="Comment Text Char"/>
    <w:link w:val="CommentText"/>
    <w:uiPriority w:val="99"/>
    <w:rPr>
      <w:rFonts w:ascii="Times New Roman" w:eastAsia="Times New Roman" w:hAnsi="Times New Roman" w:cs="Times New Roman"/>
      <w:sz w:val="20"/>
      <w:szCs w:val="20"/>
    </w:rPr>
  </w:style>
  <w:style w:type="table" w:customStyle="1" w:styleId="Style112">
    <w:name w:val="Style112"/>
    <w:basedOn w:val="TableNormal"/>
    <w:rPr>
      <w:rFonts w:ascii="Times New Roman" w:eastAsia="Times New Roman" w:hAnsi="Times New Roman"/>
    </w:rPr>
    <w:tblPr/>
  </w:style>
  <w:style w:type="table" w:customStyle="1" w:styleId="Style113">
    <w:name w:val="Style113"/>
    <w:basedOn w:val="TableNormal"/>
    <w:rPr>
      <w:rFonts w:ascii="Times New Roman" w:eastAsia="Times New Roman" w:hAnsi="Times New Roman"/>
    </w:rPr>
    <w:tblPr/>
  </w:style>
  <w:style w:type="table" w:customStyle="1" w:styleId="Style114">
    <w:name w:val="Style114"/>
    <w:basedOn w:val="TableNormal"/>
    <w:rPr>
      <w:rFonts w:ascii="Times New Roman" w:eastAsia="Times New Roman" w:hAnsi="Times New Roman"/>
    </w:rPr>
    <w:tblPr/>
  </w:style>
  <w:style w:type="table" w:customStyle="1" w:styleId="Style115">
    <w:name w:val="Style115"/>
    <w:basedOn w:val="TableNormal"/>
    <w:rPr>
      <w:rFonts w:ascii="Times New Roman" w:eastAsia="Times New Roman" w:hAnsi="Times New Roman"/>
    </w:rPr>
    <w:tblPr/>
  </w:style>
  <w:style w:type="table" w:customStyle="1" w:styleId="Style116">
    <w:name w:val="Style116"/>
    <w:basedOn w:val="TableNormal"/>
    <w:rPr>
      <w:rFonts w:ascii="Times New Roman" w:eastAsia="Times New Roman" w:hAnsi="Times New Roman"/>
    </w:rPr>
    <w:tblPr/>
  </w:style>
  <w:style w:type="table" w:customStyle="1" w:styleId="Style117">
    <w:name w:val="Style117"/>
    <w:basedOn w:val="TableNormal"/>
    <w:rPr>
      <w:rFonts w:ascii="Times New Roman" w:eastAsia="Times New Roman" w:hAnsi="Times New Roman"/>
    </w:rPr>
    <w:tblPr/>
  </w:style>
  <w:style w:type="table" w:customStyle="1" w:styleId="Style118">
    <w:name w:val="Style118"/>
    <w:basedOn w:val="TableNormal"/>
    <w:rPr>
      <w:rFonts w:ascii="Times New Roman" w:eastAsia="Times New Roman" w:hAnsi="Times New Roman"/>
    </w:rPr>
    <w:tblPr/>
  </w:style>
  <w:style w:type="table" w:customStyle="1" w:styleId="Style119">
    <w:name w:val="Style119"/>
    <w:basedOn w:val="TableNormal"/>
    <w:rPr>
      <w:rFonts w:ascii="Times New Roman" w:eastAsia="Times New Roman" w:hAnsi="Times New Roman"/>
    </w:rPr>
    <w:tblPr/>
  </w:style>
  <w:style w:type="table" w:customStyle="1" w:styleId="Style120">
    <w:name w:val="Style120"/>
    <w:basedOn w:val="TableNormal"/>
    <w:rPr>
      <w:rFonts w:ascii="Times New Roman" w:eastAsia="Times New Roman" w:hAnsi="Times New Roman"/>
    </w:rPr>
    <w:tblPr/>
  </w:style>
  <w:style w:type="table" w:customStyle="1" w:styleId="Style121">
    <w:name w:val="Style121"/>
    <w:basedOn w:val="TableNormal"/>
    <w:rPr>
      <w:rFonts w:ascii="Times New Roman" w:eastAsia="Times New Roman" w:hAnsi="Times New Roman"/>
    </w:rPr>
    <w:tblPr/>
  </w:style>
  <w:style w:type="table" w:customStyle="1" w:styleId="Style122">
    <w:name w:val="Style122"/>
    <w:basedOn w:val="TableNormal"/>
    <w:rPr>
      <w:rFonts w:ascii="Times New Roman" w:eastAsia="Times New Roman" w:hAnsi="Times New Roman"/>
    </w:rPr>
    <w:tblPr/>
  </w:style>
  <w:style w:type="table" w:customStyle="1" w:styleId="Style123">
    <w:name w:val="Style123"/>
    <w:basedOn w:val="TableNormal"/>
    <w:rPr>
      <w:rFonts w:ascii="Times New Roman" w:eastAsia="Times New Roman" w:hAnsi="Times New Roman"/>
    </w:rPr>
    <w:tblPr/>
  </w:style>
  <w:style w:type="table" w:customStyle="1" w:styleId="Style124">
    <w:name w:val="Style124"/>
    <w:basedOn w:val="TableNormal"/>
    <w:rPr>
      <w:rFonts w:ascii="Times New Roman" w:eastAsia="Times New Roman" w:hAnsi="Times New Roman"/>
    </w:rPr>
    <w:tblPr/>
  </w:style>
  <w:style w:type="table" w:customStyle="1" w:styleId="Style125">
    <w:name w:val="Style125"/>
    <w:basedOn w:val="TableNormal"/>
    <w:rPr>
      <w:rFonts w:ascii="Times New Roman" w:eastAsia="Times New Roman" w:hAnsi="Times New Roman"/>
    </w:rPr>
    <w:tblPr/>
  </w:style>
  <w:style w:type="table" w:customStyle="1" w:styleId="Style126">
    <w:name w:val="Style126"/>
    <w:basedOn w:val="TableNormal"/>
    <w:rPr>
      <w:rFonts w:ascii="Times New Roman" w:eastAsia="Times New Roman" w:hAnsi="Times New Roman"/>
    </w:rPr>
    <w:tblPr/>
  </w:style>
  <w:style w:type="table" w:customStyle="1" w:styleId="Style127">
    <w:name w:val="Style127"/>
    <w:basedOn w:val="TableNormal"/>
    <w:rPr>
      <w:rFonts w:ascii="Times New Roman" w:eastAsia="Times New Roman" w:hAnsi="Times New Roman"/>
    </w:rPr>
    <w:tblPr/>
  </w:style>
  <w:style w:type="character" w:customStyle="1" w:styleId="Heading1Char">
    <w:name w:val="Heading 1 Char"/>
    <w:link w:val="Heading1"/>
    <w:uiPriority w:val="9"/>
    <w:rPr>
      <w:rFonts w:ascii="Arial" w:eastAsia="SimSun" w:hAnsi="Arial" w:cs="Times New Roman"/>
      <w:bCs/>
      <w:color w:val="A6A6A6"/>
      <w:sz w:val="24"/>
      <w:szCs w:val="28"/>
    </w:rPr>
  </w:style>
  <w:style w:type="paragraph" w:styleId="TOC8">
    <w:name w:val="toc 8"/>
    <w:basedOn w:val="Normal"/>
    <w:next w:val="Normal"/>
    <w:autoRedefine/>
    <w:uiPriority w:val="39"/>
    <w:semiHidden/>
    <w:unhideWhenUsed/>
    <w:pPr>
      <w:spacing w:after="100"/>
      <w:ind w:left="1680"/>
    </w:pPr>
  </w:style>
  <w:style w:type="paragraph" w:styleId="TOC1">
    <w:name w:val="toc 1"/>
    <w:basedOn w:val="Normal"/>
    <w:next w:val="Normal"/>
    <w:link w:val="TOC1Char"/>
    <w:autoRedefine/>
    <w:uiPriority w:val="39"/>
    <w:unhideWhenUsed/>
    <w:pPr>
      <w:tabs>
        <w:tab w:val="right" w:leader="dot" w:pos="9062"/>
      </w:tabs>
      <w:spacing w:after="100"/>
    </w:pPr>
    <w:rPr>
      <w:rFonts w:ascii="Arial" w:hAnsi="Arial" w:cs="Arial"/>
      <w:noProof/>
      <w:sz w:val="20"/>
    </w:rPr>
  </w:style>
  <w:style w:type="character" w:styleId="FollowedHyperlink">
    <w:name w:val="FollowedHyperlink"/>
    <w:uiPriority w:val="99"/>
    <w:semiHidden/>
    <w:unhideWhenUsed/>
    <w:rPr>
      <w:color w:val="800080"/>
      <w:u w:val="single"/>
    </w:rPr>
  </w:style>
  <w:style w:type="paragraph" w:customStyle="1" w:styleId="c01pointnumerotealtn">
    <w:name w:val="c01pointnumerotealtn"/>
    <w:basedOn w:val="Normal"/>
    <w:pPr>
      <w:spacing w:before="100" w:beforeAutospacing="1"/>
      <w:ind w:left="567" w:hanging="539"/>
    </w:pPr>
    <w:rPr>
      <w:szCs w:val="24"/>
      <w:lang w:eastAsia="en-GB"/>
    </w:rPr>
  </w:style>
  <w:style w:type="character" w:customStyle="1" w:styleId="at25">
    <w:name w:val="a__t25"/>
    <w:basedOn w:val="DefaultParagraphFont"/>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rPr>
  </w:style>
  <w:style w:type="paragraph" w:styleId="NormalWeb">
    <w:name w:val="Normal (Web)"/>
    <w:basedOn w:val="Normal"/>
    <w:uiPriority w:val="99"/>
    <w:unhideWhenUsed/>
    <w:rPr>
      <w:szCs w:val="24"/>
    </w:rPr>
  </w:style>
  <w:style w:type="paragraph" w:customStyle="1" w:styleId="Lijstje3">
    <w:name w:val="Lijstje 3"/>
    <w:basedOn w:val="Lijstje2"/>
    <w:uiPriority w:val="1"/>
    <w:unhideWhenUsed/>
    <w:locked/>
    <w:pPr>
      <w:numPr>
        <w:numId w:val="0"/>
      </w:numPr>
      <w:tabs>
        <w:tab w:val="num" w:pos="765"/>
      </w:tabs>
      <w:spacing w:after="200"/>
      <w:ind w:left="1069" w:hanging="283"/>
    </w:pPr>
  </w:style>
  <w:style w:type="character" w:customStyle="1" w:styleId="st">
    <w:name w:val="st"/>
    <w:basedOn w:val="DefaultParagraphFont"/>
  </w:style>
  <w:style w:type="character" w:customStyle="1" w:styleId="prdnormal">
    <w:name w:val="prdnormal"/>
    <w:basedOn w:val="DefaultParagraphFont"/>
  </w:style>
  <w:style w:type="character" w:styleId="Emphasis">
    <w:name w:val="Emphasis"/>
    <w:uiPriority w:val="20"/>
    <w:qFormat/>
    <w:rPr>
      <w:i/>
      <w:iCs/>
    </w:rPr>
  </w:style>
  <w:style w:type="paragraph" w:styleId="ListBullet">
    <w:name w:val="List Bullet"/>
    <w:basedOn w:val="Normal"/>
    <w:pPr>
      <w:numPr>
        <w:numId w:val="8"/>
      </w:numPr>
    </w:pPr>
    <w:rPr>
      <w:rFonts w:ascii="Arial" w:hAnsi="Arial"/>
      <w:sz w:val="22"/>
    </w:rPr>
  </w:style>
  <w:style w:type="paragraph" w:styleId="Signature">
    <w:name w:val="Signature"/>
    <w:basedOn w:val="Normal"/>
    <w:link w:val="SignatureChar"/>
    <w:uiPriority w:val="99"/>
    <w:semiHidden/>
    <w:unhideWhenUsed/>
    <w:pPr>
      <w:spacing w:after="0"/>
      <w:ind w:left="4252"/>
    </w:pPr>
  </w:style>
  <w:style w:type="character" w:customStyle="1" w:styleId="SignatureChar">
    <w:name w:val="Signature Char"/>
    <w:link w:val="Signature"/>
    <w:uiPriority w:val="99"/>
    <w:semiHidden/>
    <w:rPr>
      <w:rFonts w:ascii="Times New Roman" w:eastAsia="Times New Roman" w:hAnsi="Times New Roman" w:cs="Times New Roman"/>
      <w:sz w:val="24"/>
      <w:szCs w:val="20"/>
    </w:rPr>
  </w:style>
  <w:style w:type="paragraph" w:styleId="Revision">
    <w:name w:val="Revision"/>
    <w:hidden/>
    <w:uiPriority w:val="99"/>
    <w:semiHidden/>
    <w:rPr>
      <w:rFonts w:ascii="Times New Roman" w:eastAsia="Times New Roman" w:hAnsi="Times New Roman"/>
      <w:sz w:val="24"/>
      <w:lang w:eastAsia="en-US" w:bidi="ar-SA"/>
    </w:rPr>
  </w:style>
  <w:style w:type="character" w:customStyle="1" w:styleId="f1">
    <w:name w:val="f1"/>
    <w:rPr>
      <w:color w:val="666666"/>
    </w:rPr>
  </w:style>
  <w:style w:type="character" w:customStyle="1" w:styleId="st1">
    <w:name w:val="st1"/>
    <w:basedOn w:val="DefaultParagraphFont"/>
  </w:style>
  <w:style w:type="character" w:styleId="Strong">
    <w:name w:val="Strong"/>
    <w:uiPriority w:val="22"/>
    <w:qFormat/>
    <w:rPr>
      <w:b/>
      <w:bCs/>
    </w:rPr>
  </w:style>
  <w:style w:type="character" w:styleId="SubtleEmphasis">
    <w:name w:val="Subtle Emphasis"/>
    <w:uiPriority w:val="19"/>
    <w:qFormat/>
    <w:rPr>
      <w:i/>
      <w:iCs/>
      <w:color w:val="808080"/>
    </w:rPr>
  </w:style>
  <w:style w:type="character" w:customStyle="1" w:styleId="Marker">
    <w:name w:val="Marker"/>
    <w:rPr>
      <w:color w:val="0000FF"/>
      <w:shd w:val="clear" w:color="auto" w:fill="auto"/>
    </w:rPr>
  </w:style>
  <w:style w:type="paragraph" w:customStyle="1" w:styleId="Pagedecouverture">
    <w:name w:val="Page de couverture"/>
    <w:basedOn w:val="Normal"/>
    <w:next w:val="Normal"/>
    <w:pPr>
      <w:spacing w:after="0"/>
    </w:pPr>
    <w:rPr>
      <w:rFonts w:eastAsia="Calibri"/>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TOC1Char">
    <w:name w:val="TOC 1 Char"/>
    <w:link w:val="TOC1"/>
    <w:uiPriority w:val="39"/>
    <w:rPr>
      <w:rFonts w:ascii="Arial" w:eastAsia="Times New Roman" w:hAnsi="Arial" w:cs="Arial"/>
      <w:noProof/>
      <w:lang w:eastAsia="en-US" w:bidi="ar-SA"/>
    </w:rPr>
  </w:style>
  <w:style w:type="character" w:customStyle="1" w:styleId="FooterCoverPageChar">
    <w:name w:val="Footer Cover Page Char"/>
    <w:link w:val="FooterCoverPage"/>
    <w:rPr>
      <w:rFonts w:ascii="Times New Roman" w:eastAsia="Times New Roman" w:hAnsi="Times New Roman"/>
      <w:sz w:val="24"/>
      <w:lang w:eastAsia="en-US" w:bidi="ar-SA"/>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link w:val="HeaderCoverPage"/>
    <w:rPr>
      <w:rFonts w:ascii="Times New Roman" w:eastAsia="Times New Roman" w:hAnsi="Times New Roman"/>
      <w:sz w:val="24"/>
      <w:lang w:eastAsia="en-US" w:bidi="ar-SA"/>
    </w:rPr>
  </w:style>
  <w:style w:type="paragraph" w:styleId="BodyText3">
    <w:name w:val="Body Text 3"/>
    <w:basedOn w:val="Normal"/>
    <w:link w:val="BodyText3Char"/>
    <w:pPr>
      <w:spacing w:after="120"/>
    </w:pPr>
    <w:rPr>
      <w:rFonts w:ascii="Arial" w:hAnsi="Arial"/>
      <w:sz w:val="16"/>
    </w:rPr>
  </w:style>
  <w:style w:type="character" w:customStyle="1" w:styleId="BodyText3Char">
    <w:name w:val="Body Text 3 Char"/>
    <w:link w:val="BodyText3"/>
    <w:rPr>
      <w:rFonts w:ascii="Arial" w:eastAsia="Times New Roman" w:hAnsi="Arial" w:cs="Times New Roman"/>
      <w:sz w:val="16"/>
      <w:szCs w:val="20"/>
    </w:rPr>
  </w:style>
  <w:style w:type="character" w:customStyle="1" w:styleId="Heading3Char">
    <w:name w:val="Heading 3 Char"/>
    <w:link w:val="Heading3"/>
    <w:uiPriority w:val="9"/>
    <w:semiHidden/>
    <w:rPr>
      <w:rFonts w:ascii="Cambria" w:eastAsia="SimSun" w:hAnsi="Cambria" w:cs="Times New Roman"/>
      <w:b/>
      <w:bCs/>
      <w:color w:val="4F81BD"/>
      <w:sz w:val="24"/>
      <w:szCs w:val="20"/>
    </w:rPr>
  </w:style>
  <w:style w:type="paragraph" w:customStyle="1" w:styleId="Default">
    <w:name w:val="Default"/>
    <w:pPr>
      <w:autoSpaceDE w:val="0"/>
      <w:autoSpaceDN w:val="0"/>
      <w:adjustRightInd w:val="0"/>
    </w:pPr>
    <w:rPr>
      <w:rFonts w:ascii="Arial" w:hAnsi="Arial" w:cs="Arial"/>
      <w:color w:val="000000"/>
      <w:sz w:val="24"/>
      <w:szCs w:val="24"/>
      <w:lang w:eastAsia="en-US" w:bidi="ar-SA"/>
    </w:rPr>
  </w:style>
  <w:style w:type="paragraph" w:customStyle="1" w:styleId="c08dispositif">
    <w:name w:val="c08dispositif"/>
    <w:basedOn w:val="Normal"/>
    <w:pPr>
      <w:spacing w:before="100" w:beforeAutospacing="1"/>
      <w:ind w:left="1134" w:hanging="567"/>
    </w:pPr>
    <w:rPr>
      <w:rFonts w:eastAsia="Calibri"/>
      <w:b/>
      <w:bCs/>
      <w:szCs w:val="24"/>
      <w:lang w:eastAsia="en-GB"/>
    </w:rPr>
  </w:style>
  <w:style w:type="paragraph" w:customStyle="1" w:styleId="Contact">
    <w:name w:val="Contact"/>
    <w:basedOn w:val="Normal"/>
    <w:next w:val="Normal"/>
    <w:pPr>
      <w:spacing w:after="480"/>
      <w:ind w:left="567" w:hanging="567"/>
      <w:jc w:val="left"/>
    </w:pPr>
  </w:style>
  <w:style w:type="paragraph" w:customStyle="1" w:styleId="Declassification">
    <w:name w:val="Declassification"/>
    <w:basedOn w:val="Normal"/>
    <w:next w:val="Normal"/>
    <w:pPr>
      <w:spacing w:after="0"/>
    </w:pPr>
    <w:rPr>
      <w:rFonts w:eastAsia="Calibri"/>
      <w:szCs w:val="22"/>
    </w:rPr>
  </w:style>
  <w:style w:type="paragraph" w:customStyle="1" w:styleId="HeaderLandscape">
    <w:name w:val="HeaderLandscape"/>
    <w:basedOn w:val="Normal"/>
    <w:pPr>
      <w:tabs>
        <w:tab w:val="center" w:pos="7285"/>
        <w:tab w:val="right" w:pos="14003"/>
      </w:tabs>
      <w:spacing w:after="120"/>
    </w:pPr>
    <w:rPr>
      <w:rFonts w:eastAsia="Calibri"/>
      <w:szCs w:val="22"/>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Calibri"/>
      <w:szCs w:val="2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paragraph" w:customStyle="1" w:styleId="Text3">
    <w:name w:val="Text 3"/>
    <w:basedOn w:val="Normal"/>
    <w:pPr>
      <w:tabs>
        <w:tab w:val="left" w:pos="2302"/>
      </w:tabs>
      <w:ind w:left="1202"/>
    </w:pPr>
    <w:rPr>
      <w:rFonts w:ascii="Arial" w:hAnsi="Arial"/>
      <w:sz w:val="22"/>
    </w:rPr>
  </w:style>
  <w:style w:type="character" w:customStyle="1" w:styleId="bluetext11">
    <w:name w:val="bluetext11"/>
    <w:basedOn w:val="DefaultParagraphFont"/>
  </w:style>
  <w:style w:type="paragraph" w:customStyle="1" w:styleId="AnnualReport1">
    <w:name w:val="Annual Report §1"/>
    <w:basedOn w:val="Normal"/>
    <w:link w:val="AnnualReport1Char"/>
    <w:qFormat/>
    <w:pPr>
      <w:keepNext/>
      <w:keepLines/>
      <w:numPr>
        <w:numId w:val="3"/>
      </w:numPr>
      <w:spacing w:before="360" w:after="120"/>
      <w:outlineLvl w:val="1"/>
    </w:pPr>
    <w:rPr>
      <w:rFonts w:ascii="Arial" w:eastAsia="MS Gothic" w:hAnsi="Arial" w:cs="Arial"/>
      <w:caps/>
      <w:color w:val="4F81BD"/>
      <w:kern w:val="20"/>
      <w:szCs w:val="24"/>
    </w:rPr>
  </w:style>
  <w:style w:type="paragraph" w:customStyle="1" w:styleId="AnnualReport2">
    <w:name w:val="Annual Report §2"/>
    <w:basedOn w:val="Normal"/>
    <w:link w:val="AnnualReport2Char"/>
    <w:qFormat/>
    <w:pPr>
      <w:spacing w:before="240"/>
      <w:ind w:left="786" w:hanging="360"/>
      <w:jc w:val="left"/>
      <w:outlineLvl w:val="1"/>
    </w:pPr>
    <w:rPr>
      <w:rFonts w:ascii="Arial" w:hAnsi="Arial"/>
      <w:color w:val="002060"/>
      <w:sz w:val="22"/>
      <w:szCs w:val="22"/>
    </w:rPr>
  </w:style>
  <w:style w:type="character" w:customStyle="1" w:styleId="AnnualReport1Char">
    <w:name w:val="Annual Report §1 Char"/>
    <w:link w:val="AnnualReport1"/>
    <w:rPr>
      <w:rFonts w:ascii="Arial" w:eastAsia="MS Gothic" w:hAnsi="Arial" w:cs="Arial"/>
      <w:caps/>
      <w:color w:val="4F81BD"/>
      <w:kern w:val="20"/>
      <w:sz w:val="24"/>
      <w:szCs w:val="24"/>
    </w:rPr>
  </w:style>
  <w:style w:type="character" w:customStyle="1" w:styleId="AnnualReport2Char">
    <w:name w:val="Annual Report §2 Char"/>
    <w:link w:val="AnnualReport2"/>
    <w:rPr>
      <w:rFonts w:ascii="Arial" w:eastAsia="Times New Roman" w:hAnsi="Arial" w:cs="Times New Roman"/>
      <w:color w:val="002060"/>
    </w:rPr>
  </w:style>
  <w:style w:type="character" w:customStyle="1" w:styleId="Heading2Char">
    <w:name w:val="Heading 2 Char"/>
    <w:link w:val="Heading2"/>
    <w:rPr>
      <w:rFonts w:ascii="Arial" w:eastAsia="Times New Roman" w:hAnsi="Arial" w:cs="Times New Roman"/>
      <w:b/>
      <w:szCs w:val="20"/>
    </w:rPr>
  </w:style>
  <w:style w:type="character" w:customStyle="1" w:styleId="Heading4Char">
    <w:name w:val="Heading 4 Char"/>
    <w:link w:val="Heading4"/>
    <w:rPr>
      <w:rFonts w:ascii="Arial" w:eastAsia="Times New Roman" w:hAnsi="Arial" w:cs="Times New Roman"/>
      <w:szCs w:val="20"/>
    </w:rPr>
  </w:style>
  <w:style w:type="paragraph" w:customStyle="1" w:styleId="Text4">
    <w:name w:val="Text 4"/>
    <w:basedOn w:val="Normal"/>
    <w:pPr>
      <w:tabs>
        <w:tab w:val="left" w:pos="2302"/>
      </w:tabs>
      <w:ind w:left="1202"/>
    </w:pPr>
    <w:rPr>
      <w:rFonts w:ascii="Arial" w:hAnsi="Arial"/>
      <w:sz w:val="22"/>
    </w:rPr>
  </w:style>
  <w:style w:type="paragraph" w:styleId="EndnoteText">
    <w:name w:val="endnote text"/>
    <w:basedOn w:val="Normal"/>
    <w:link w:val="EndnoteTextChar"/>
    <w:uiPriority w:val="99"/>
    <w:semiHidden/>
    <w:unhideWhenUsed/>
    <w:pPr>
      <w:spacing w:after="0"/>
    </w:pPr>
    <w:rPr>
      <w:sz w:val="20"/>
    </w:rPr>
  </w:style>
  <w:style w:type="character" w:customStyle="1" w:styleId="EndnoteTextChar">
    <w:name w:val="Endnote Text Char"/>
    <w:link w:val="EndnoteText"/>
    <w:uiPriority w:val="99"/>
    <w:semiHidden/>
    <w:rPr>
      <w:rFonts w:ascii="Times New Roman" w:eastAsia="Times New Roman" w:hAnsi="Times New Roman" w:cs="Times New Roman"/>
      <w:sz w:val="20"/>
      <w:szCs w:val="20"/>
    </w:rPr>
  </w:style>
  <w:style w:type="character" w:styleId="EndnoteReference">
    <w:name w:val="endnote reference"/>
    <w:uiPriority w:val="99"/>
    <w:semiHidden/>
    <w:unhideWhenUsed/>
    <w:rPr>
      <w:vertAlign w:val="superscript"/>
    </w:rPr>
  </w:style>
  <w:style w:type="paragraph" w:styleId="ListNumber5">
    <w:name w:val="List Number 5"/>
    <w:basedOn w:val="Normal"/>
    <w:pPr>
      <w:numPr>
        <w:numId w:val="212"/>
      </w:numPr>
    </w:pPr>
    <w:rPr>
      <w:szCs w:val="22"/>
      <w:lang w:eastAsia="en-GB"/>
    </w:rPr>
  </w:style>
  <w:style w:type="paragraph" w:customStyle="1" w:styleId="Basis">
    <w:name w:val="Basis"/>
    <w:basedOn w:val="Normal"/>
    <w:link w:val="BasisChar"/>
    <w:qFormat/>
    <w:pPr>
      <w:ind w:left="720"/>
    </w:pPr>
    <w:rPr>
      <w:rFonts w:ascii="Verdana" w:hAnsi="Verdana"/>
      <w:sz w:val="20"/>
      <w:szCs w:val="22"/>
      <w:lang w:val="en-US" w:eastAsia="en-GB"/>
    </w:rPr>
  </w:style>
  <w:style w:type="character" w:customStyle="1" w:styleId="BasisChar">
    <w:name w:val="Basis Char"/>
    <w:link w:val="Basis"/>
    <w:rPr>
      <w:rFonts w:ascii="Verdana" w:eastAsia="Times New Roman" w:hAnsi="Verdana"/>
      <w:szCs w:val="22"/>
      <w:lang w:val="en-US"/>
    </w:rPr>
  </w:style>
  <w:style w:type="character" w:customStyle="1" w:styleId="bold">
    <w:name w:val="bold"/>
  </w:style>
  <w:style w:type="paragraph" w:customStyle="1" w:styleId="ListBullet1">
    <w:name w:val="List Bullet 1"/>
    <w:basedOn w:val="Normal"/>
    <w:pPr>
      <w:numPr>
        <w:numId w:val="23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89627">
      <w:bodyDiv w:val="1"/>
      <w:marLeft w:val="0"/>
      <w:marRight w:val="0"/>
      <w:marTop w:val="0"/>
      <w:marBottom w:val="0"/>
      <w:divBdr>
        <w:top w:val="none" w:sz="0" w:space="0" w:color="auto"/>
        <w:left w:val="none" w:sz="0" w:space="0" w:color="auto"/>
        <w:bottom w:val="none" w:sz="0" w:space="0" w:color="auto"/>
        <w:right w:val="none" w:sz="0" w:space="0" w:color="auto"/>
      </w:divBdr>
    </w:div>
    <w:div w:id="47269707">
      <w:bodyDiv w:val="1"/>
      <w:marLeft w:val="0"/>
      <w:marRight w:val="0"/>
      <w:marTop w:val="0"/>
      <w:marBottom w:val="0"/>
      <w:divBdr>
        <w:top w:val="none" w:sz="0" w:space="0" w:color="auto"/>
        <w:left w:val="none" w:sz="0" w:space="0" w:color="auto"/>
        <w:bottom w:val="none" w:sz="0" w:space="0" w:color="auto"/>
        <w:right w:val="none" w:sz="0" w:space="0" w:color="auto"/>
      </w:divBdr>
    </w:div>
    <w:div w:id="64886025">
      <w:bodyDiv w:val="1"/>
      <w:marLeft w:val="0"/>
      <w:marRight w:val="0"/>
      <w:marTop w:val="0"/>
      <w:marBottom w:val="0"/>
      <w:divBdr>
        <w:top w:val="none" w:sz="0" w:space="0" w:color="auto"/>
        <w:left w:val="none" w:sz="0" w:space="0" w:color="auto"/>
        <w:bottom w:val="none" w:sz="0" w:space="0" w:color="auto"/>
        <w:right w:val="none" w:sz="0" w:space="0" w:color="auto"/>
      </w:divBdr>
    </w:div>
    <w:div w:id="69667509">
      <w:bodyDiv w:val="1"/>
      <w:marLeft w:val="0"/>
      <w:marRight w:val="0"/>
      <w:marTop w:val="0"/>
      <w:marBottom w:val="0"/>
      <w:divBdr>
        <w:top w:val="none" w:sz="0" w:space="0" w:color="auto"/>
        <w:left w:val="none" w:sz="0" w:space="0" w:color="auto"/>
        <w:bottom w:val="none" w:sz="0" w:space="0" w:color="auto"/>
        <w:right w:val="none" w:sz="0" w:space="0" w:color="auto"/>
      </w:divBdr>
    </w:div>
    <w:div w:id="83887983">
      <w:bodyDiv w:val="1"/>
      <w:marLeft w:val="0"/>
      <w:marRight w:val="0"/>
      <w:marTop w:val="0"/>
      <w:marBottom w:val="0"/>
      <w:divBdr>
        <w:top w:val="none" w:sz="0" w:space="0" w:color="auto"/>
        <w:left w:val="none" w:sz="0" w:space="0" w:color="auto"/>
        <w:bottom w:val="none" w:sz="0" w:space="0" w:color="auto"/>
        <w:right w:val="none" w:sz="0" w:space="0" w:color="auto"/>
      </w:divBdr>
    </w:div>
    <w:div w:id="88742016">
      <w:bodyDiv w:val="1"/>
      <w:marLeft w:val="0"/>
      <w:marRight w:val="0"/>
      <w:marTop w:val="0"/>
      <w:marBottom w:val="0"/>
      <w:divBdr>
        <w:top w:val="none" w:sz="0" w:space="0" w:color="auto"/>
        <w:left w:val="none" w:sz="0" w:space="0" w:color="auto"/>
        <w:bottom w:val="none" w:sz="0" w:space="0" w:color="auto"/>
        <w:right w:val="none" w:sz="0" w:space="0" w:color="auto"/>
      </w:divBdr>
    </w:div>
    <w:div w:id="113908812">
      <w:bodyDiv w:val="1"/>
      <w:marLeft w:val="0"/>
      <w:marRight w:val="0"/>
      <w:marTop w:val="0"/>
      <w:marBottom w:val="0"/>
      <w:divBdr>
        <w:top w:val="none" w:sz="0" w:space="0" w:color="auto"/>
        <w:left w:val="none" w:sz="0" w:space="0" w:color="auto"/>
        <w:bottom w:val="none" w:sz="0" w:space="0" w:color="auto"/>
        <w:right w:val="none" w:sz="0" w:space="0" w:color="auto"/>
      </w:divBdr>
    </w:div>
    <w:div w:id="133648872">
      <w:bodyDiv w:val="1"/>
      <w:marLeft w:val="0"/>
      <w:marRight w:val="0"/>
      <w:marTop w:val="0"/>
      <w:marBottom w:val="0"/>
      <w:divBdr>
        <w:top w:val="none" w:sz="0" w:space="0" w:color="auto"/>
        <w:left w:val="none" w:sz="0" w:space="0" w:color="auto"/>
        <w:bottom w:val="none" w:sz="0" w:space="0" w:color="auto"/>
        <w:right w:val="none" w:sz="0" w:space="0" w:color="auto"/>
      </w:divBdr>
    </w:div>
    <w:div w:id="153880632">
      <w:bodyDiv w:val="1"/>
      <w:marLeft w:val="0"/>
      <w:marRight w:val="0"/>
      <w:marTop w:val="0"/>
      <w:marBottom w:val="0"/>
      <w:divBdr>
        <w:top w:val="none" w:sz="0" w:space="0" w:color="auto"/>
        <w:left w:val="none" w:sz="0" w:space="0" w:color="auto"/>
        <w:bottom w:val="none" w:sz="0" w:space="0" w:color="auto"/>
        <w:right w:val="none" w:sz="0" w:space="0" w:color="auto"/>
      </w:divBdr>
      <w:divsChild>
        <w:div w:id="521669573">
          <w:marLeft w:val="0"/>
          <w:marRight w:val="0"/>
          <w:marTop w:val="0"/>
          <w:marBottom w:val="0"/>
          <w:divBdr>
            <w:top w:val="none" w:sz="0" w:space="0" w:color="auto"/>
            <w:left w:val="none" w:sz="0" w:space="0" w:color="auto"/>
            <w:bottom w:val="none" w:sz="0" w:space="0" w:color="auto"/>
            <w:right w:val="none" w:sz="0" w:space="0" w:color="auto"/>
          </w:divBdr>
          <w:divsChild>
            <w:div w:id="950745430">
              <w:marLeft w:val="0"/>
              <w:marRight w:val="0"/>
              <w:marTop w:val="0"/>
              <w:marBottom w:val="0"/>
              <w:divBdr>
                <w:top w:val="none" w:sz="0" w:space="0" w:color="auto"/>
                <w:left w:val="none" w:sz="0" w:space="0" w:color="auto"/>
                <w:bottom w:val="none" w:sz="0" w:space="0" w:color="auto"/>
                <w:right w:val="none" w:sz="0" w:space="0" w:color="auto"/>
              </w:divBdr>
              <w:divsChild>
                <w:div w:id="92677281">
                  <w:marLeft w:val="0"/>
                  <w:marRight w:val="0"/>
                  <w:marTop w:val="0"/>
                  <w:marBottom w:val="0"/>
                  <w:divBdr>
                    <w:top w:val="none" w:sz="0" w:space="0" w:color="auto"/>
                    <w:left w:val="none" w:sz="0" w:space="0" w:color="auto"/>
                    <w:bottom w:val="none" w:sz="0" w:space="0" w:color="auto"/>
                    <w:right w:val="none" w:sz="0" w:space="0" w:color="auto"/>
                  </w:divBdr>
                  <w:divsChild>
                    <w:div w:id="1046293747">
                      <w:marLeft w:val="0"/>
                      <w:marRight w:val="0"/>
                      <w:marTop w:val="0"/>
                      <w:marBottom w:val="0"/>
                      <w:divBdr>
                        <w:top w:val="none" w:sz="0" w:space="0" w:color="auto"/>
                        <w:left w:val="none" w:sz="0" w:space="0" w:color="auto"/>
                        <w:bottom w:val="none" w:sz="0" w:space="0" w:color="auto"/>
                        <w:right w:val="none" w:sz="0" w:space="0" w:color="auto"/>
                      </w:divBdr>
                      <w:divsChild>
                        <w:div w:id="1632250834">
                          <w:marLeft w:val="0"/>
                          <w:marRight w:val="0"/>
                          <w:marTop w:val="0"/>
                          <w:marBottom w:val="0"/>
                          <w:divBdr>
                            <w:top w:val="none" w:sz="0" w:space="0" w:color="auto"/>
                            <w:left w:val="none" w:sz="0" w:space="0" w:color="auto"/>
                            <w:bottom w:val="none" w:sz="0" w:space="0" w:color="auto"/>
                            <w:right w:val="none" w:sz="0" w:space="0" w:color="auto"/>
                          </w:divBdr>
                          <w:divsChild>
                            <w:div w:id="159463627">
                              <w:marLeft w:val="0"/>
                              <w:marRight w:val="0"/>
                              <w:marTop w:val="0"/>
                              <w:marBottom w:val="0"/>
                              <w:divBdr>
                                <w:top w:val="none" w:sz="0" w:space="0" w:color="auto"/>
                                <w:left w:val="none" w:sz="0" w:space="0" w:color="auto"/>
                                <w:bottom w:val="none" w:sz="0" w:space="0" w:color="auto"/>
                                <w:right w:val="none" w:sz="0" w:space="0" w:color="auto"/>
                              </w:divBdr>
                              <w:divsChild>
                                <w:div w:id="53503200">
                                  <w:marLeft w:val="0"/>
                                  <w:marRight w:val="0"/>
                                  <w:marTop w:val="0"/>
                                  <w:marBottom w:val="0"/>
                                  <w:divBdr>
                                    <w:top w:val="none" w:sz="0" w:space="0" w:color="auto"/>
                                    <w:left w:val="none" w:sz="0" w:space="0" w:color="auto"/>
                                    <w:bottom w:val="none" w:sz="0" w:space="0" w:color="auto"/>
                                    <w:right w:val="none" w:sz="0" w:space="0" w:color="auto"/>
                                  </w:divBdr>
                                  <w:divsChild>
                                    <w:div w:id="132469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971653">
      <w:bodyDiv w:val="1"/>
      <w:marLeft w:val="0"/>
      <w:marRight w:val="0"/>
      <w:marTop w:val="0"/>
      <w:marBottom w:val="0"/>
      <w:divBdr>
        <w:top w:val="none" w:sz="0" w:space="0" w:color="auto"/>
        <w:left w:val="none" w:sz="0" w:space="0" w:color="auto"/>
        <w:bottom w:val="none" w:sz="0" w:space="0" w:color="auto"/>
        <w:right w:val="none" w:sz="0" w:space="0" w:color="auto"/>
      </w:divBdr>
    </w:div>
    <w:div w:id="163594572">
      <w:bodyDiv w:val="1"/>
      <w:marLeft w:val="0"/>
      <w:marRight w:val="0"/>
      <w:marTop w:val="0"/>
      <w:marBottom w:val="0"/>
      <w:divBdr>
        <w:top w:val="none" w:sz="0" w:space="0" w:color="auto"/>
        <w:left w:val="none" w:sz="0" w:space="0" w:color="auto"/>
        <w:bottom w:val="none" w:sz="0" w:space="0" w:color="auto"/>
        <w:right w:val="none" w:sz="0" w:space="0" w:color="auto"/>
      </w:divBdr>
    </w:div>
    <w:div w:id="164444687">
      <w:bodyDiv w:val="1"/>
      <w:marLeft w:val="0"/>
      <w:marRight w:val="0"/>
      <w:marTop w:val="0"/>
      <w:marBottom w:val="0"/>
      <w:divBdr>
        <w:top w:val="none" w:sz="0" w:space="0" w:color="auto"/>
        <w:left w:val="none" w:sz="0" w:space="0" w:color="auto"/>
        <w:bottom w:val="none" w:sz="0" w:space="0" w:color="auto"/>
        <w:right w:val="none" w:sz="0" w:space="0" w:color="auto"/>
      </w:divBdr>
    </w:div>
    <w:div w:id="184952051">
      <w:bodyDiv w:val="1"/>
      <w:marLeft w:val="0"/>
      <w:marRight w:val="0"/>
      <w:marTop w:val="0"/>
      <w:marBottom w:val="0"/>
      <w:divBdr>
        <w:top w:val="none" w:sz="0" w:space="0" w:color="auto"/>
        <w:left w:val="none" w:sz="0" w:space="0" w:color="auto"/>
        <w:bottom w:val="none" w:sz="0" w:space="0" w:color="auto"/>
        <w:right w:val="none" w:sz="0" w:space="0" w:color="auto"/>
      </w:divBdr>
    </w:div>
    <w:div w:id="200363207">
      <w:bodyDiv w:val="1"/>
      <w:marLeft w:val="0"/>
      <w:marRight w:val="0"/>
      <w:marTop w:val="0"/>
      <w:marBottom w:val="0"/>
      <w:divBdr>
        <w:top w:val="none" w:sz="0" w:space="0" w:color="auto"/>
        <w:left w:val="none" w:sz="0" w:space="0" w:color="auto"/>
        <w:bottom w:val="none" w:sz="0" w:space="0" w:color="auto"/>
        <w:right w:val="none" w:sz="0" w:space="0" w:color="auto"/>
      </w:divBdr>
    </w:div>
    <w:div w:id="206990373">
      <w:bodyDiv w:val="1"/>
      <w:marLeft w:val="0"/>
      <w:marRight w:val="0"/>
      <w:marTop w:val="0"/>
      <w:marBottom w:val="0"/>
      <w:divBdr>
        <w:top w:val="none" w:sz="0" w:space="0" w:color="auto"/>
        <w:left w:val="none" w:sz="0" w:space="0" w:color="auto"/>
        <w:bottom w:val="none" w:sz="0" w:space="0" w:color="auto"/>
        <w:right w:val="none" w:sz="0" w:space="0" w:color="auto"/>
      </w:divBdr>
    </w:div>
    <w:div w:id="228544657">
      <w:bodyDiv w:val="1"/>
      <w:marLeft w:val="0"/>
      <w:marRight w:val="0"/>
      <w:marTop w:val="0"/>
      <w:marBottom w:val="0"/>
      <w:divBdr>
        <w:top w:val="none" w:sz="0" w:space="0" w:color="auto"/>
        <w:left w:val="none" w:sz="0" w:space="0" w:color="auto"/>
        <w:bottom w:val="none" w:sz="0" w:space="0" w:color="auto"/>
        <w:right w:val="none" w:sz="0" w:space="0" w:color="auto"/>
      </w:divBdr>
    </w:div>
    <w:div w:id="234777100">
      <w:bodyDiv w:val="1"/>
      <w:marLeft w:val="0"/>
      <w:marRight w:val="0"/>
      <w:marTop w:val="0"/>
      <w:marBottom w:val="0"/>
      <w:divBdr>
        <w:top w:val="none" w:sz="0" w:space="0" w:color="auto"/>
        <w:left w:val="none" w:sz="0" w:space="0" w:color="auto"/>
        <w:bottom w:val="none" w:sz="0" w:space="0" w:color="auto"/>
        <w:right w:val="none" w:sz="0" w:space="0" w:color="auto"/>
      </w:divBdr>
    </w:div>
    <w:div w:id="237784682">
      <w:bodyDiv w:val="1"/>
      <w:marLeft w:val="0"/>
      <w:marRight w:val="0"/>
      <w:marTop w:val="0"/>
      <w:marBottom w:val="0"/>
      <w:divBdr>
        <w:top w:val="none" w:sz="0" w:space="0" w:color="auto"/>
        <w:left w:val="none" w:sz="0" w:space="0" w:color="auto"/>
        <w:bottom w:val="none" w:sz="0" w:space="0" w:color="auto"/>
        <w:right w:val="none" w:sz="0" w:space="0" w:color="auto"/>
      </w:divBdr>
    </w:div>
    <w:div w:id="262343959">
      <w:bodyDiv w:val="1"/>
      <w:marLeft w:val="0"/>
      <w:marRight w:val="0"/>
      <w:marTop w:val="0"/>
      <w:marBottom w:val="0"/>
      <w:divBdr>
        <w:top w:val="none" w:sz="0" w:space="0" w:color="auto"/>
        <w:left w:val="none" w:sz="0" w:space="0" w:color="auto"/>
        <w:bottom w:val="none" w:sz="0" w:space="0" w:color="auto"/>
        <w:right w:val="none" w:sz="0" w:space="0" w:color="auto"/>
      </w:divBdr>
    </w:div>
    <w:div w:id="264927036">
      <w:bodyDiv w:val="1"/>
      <w:marLeft w:val="0"/>
      <w:marRight w:val="0"/>
      <w:marTop w:val="0"/>
      <w:marBottom w:val="0"/>
      <w:divBdr>
        <w:top w:val="none" w:sz="0" w:space="0" w:color="auto"/>
        <w:left w:val="none" w:sz="0" w:space="0" w:color="auto"/>
        <w:bottom w:val="none" w:sz="0" w:space="0" w:color="auto"/>
        <w:right w:val="none" w:sz="0" w:space="0" w:color="auto"/>
      </w:divBdr>
    </w:div>
    <w:div w:id="273756425">
      <w:bodyDiv w:val="1"/>
      <w:marLeft w:val="0"/>
      <w:marRight w:val="0"/>
      <w:marTop w:val="0"/>
      <w:marBottom w:val="0"/>
      <w:divBdr>
        <w:top w:val="none" w:sz="0" w:space="0" w:color="auto"/>
        <w:left w:val="none" w:sz="0" w:space="0" w:color="auto"/>
        <w:bottom w:val="none" w:sz="0" w:space="0" w:color="auto"/>
        <w:right w:val="none" w:sz="0" w:space="0" w:color="auto"/>
      </w:divBdr>
    </w:div>
    <w:div w:id="310133436">
      <w:bodyDiv w:val="1"/>
      <w:marLeft w:val="0"/>
      <w:marRight w:val="0"/>
      <w:marTop w:val="0"/>
      <w:marBottom w:val="0"/>
      <w:divBdr>
        <w:top w:val="none" w:sz="0" w:space="0" w:color="auto"/>
        <w:left w:val="none" w:sz="0" w:space="0" w:color="auto"/>
        <w:bottom w:val="none" w:sz="0" w:space="0" w:color="auto"/>
        <w:right w:val="none" w:sz="0" w:space="0" w:color="auto"/>
      </w:divBdr>
    </w:div>
    <w:div w:id="328026044">
      <w:bodyDiv w:val="1"/>
      <w:marLeft w:val="0"/>
      <w:marRight w:val="0"/>
      <w:marTop w:val="0"/>
      <w:marBottom w:val="0"/>
      <w:divBdr>
        <w:top w:val="none" w:sz="0" w:space="0" w:color="auto"/>
        <w:left w:val="none" w:sz="0" w:space="0" w:color="auto"/>
        <w:bottom w:val="none" w:sz="0" w:space="0" w:color="auto"/>
        <w:right w:val="none" w:sz="0" w:space="0" w:color="auto"/>
      </w:divBdr>
    </w:div>
    <w:div w:id="328605550">
      <w:bodyDiv w:val="1"/>
      <w:marLeft w:val="0"/>
      <w:marRight w:val="0"/>
      <w:marTop w:val="0"/>
      <w:marBottom w:val="0"/>
      <w:divBdr>
        <w:top w:val="none" w:sz="0" w:space="0" w:color="auto"/>
        <w:left w:val="none" w:sz="0" w:space="0" w:color="auto"/>
        <w:bottom w:val="none" w:sz="0" w:space="0" w:color="auto"/>
        <w:right w:val="none" w:sz="0" w:space="0" w:color="auto"/>
      </w:divBdr>
    </w:div>
    <w:div w:id="341393613">
      <w:bodyDiv w:val="1"/>
      <w:marLeft w:val="0"/>
      <w:marRight w:val="0"/>
      <w:marTop w:val="0"/>
      <w:marBottom w:val="0"/>
      <w:divBdr>
        <w:top w:val="none" w:sz="0" w:space="0" w:color="auto"/>
        <w:left w:val="none" w:sz="0" w:space="0" w:color="auto"/>
        <w:bottom w:val="none" w:sz="0" w:space="0" w:color="auto"/>
        <w:right w:val="none" w:sz="0" w:space="0" w:color="auto"/>
      </w:divBdr>
    </w:div>
    <w:div w:id="355620763">
      <w:bodyDiv w:val="1"/>
      <w:marLeft w:val="0"/>
      <w:marRight w:val="0"/>
      <w:marTop w:val="0"/>
      <w:marBottom w:val="0"/>
      <w:divBdr>
        <w:top w:val="none" w:sz="0" w:space="0" w:color="auto"/>
        <w:left w:val="none" w:sz="0" w:space="0" w:color="auto"/>
        <w:bottom w:val="none" w:sz="0" w:space="0" w:color="auto"/>
        <w:right w:val="none" w:sz="0" w:space="0" w:color="auto"/>
      </w:divBdr>
    </w:div>
    <w:div w:id="365057384">
      <w:bodyDiv w:val="1"/>
      <w:marLeft w:val="0"/>
      <w:marRight w:val="0"/>
      <w:marTop w:val="0"/>
      <w:marBottom w:val="0"/>
      <w:divBdr>
        <w:top w:val="none" w:sz="0" w:space="0" w:color="auto"/>
        <w:left w:val="none" w:sz="0" w:space="0" w:color="auto"/>
        <w:bottom w:val="none" w:sz="0" w:space="0" w:color="auto"/>
        <w:right w:val="none" w:sz="0" w:space="0" w:color="auto"/>
      </w:divBdr>
    </w:div>
    <w:div w:id="419958377">
      <w:bodyDiv w:val="1"/>
      <w:marLeft w:val="0"/>
      <w:marRight w:val="0"/>
      <w:marTop w:val="0"/>
      <w:marBottom w:val="0"/>
      <w:divBdr>
        <w:top w:val="none" w:sz="0" w:space="0" w:color="auto"/>
        <w:left w:val="none" w:sz="0" w:space="0" w:color="auto"/>
        <w:bottom w:val="none" w:sz="0" w:space="0" w:color="auto"/>
        <w:right w:val="none" w:sz="0" w:space="0" w:color="auto"/>
      </w:divBdr>
    </w:div>
    <w:div w:id="463699528">
      <w:bodyDiv w:val="1"/>
      <w:marLeft w:val="0"/>
      <w:marRight w:val="0"/>
      <w:marTop w:val="0"/>
      <w:marBottom w:val="0"/>
      <w:divBdr>
        <w:top w:val="none" w:sz="0" w:space="0" w:color="auto"/>
        <w:left w:val="none" w:sz="0" w:space="0" w:color="auto"/>
        <w:bottom w:val="none" w:sz="0" w:space="0" w:color="auto"/>
        <w:right w:val="none" w:sz="0" w:space="0" w:color="auto"/>
      </w:divBdr>
    </w:div>
    <w:div w:id="494304660">
      <w:bodyDiv w:val="1"/>
      <w:marLeft w:val="0"/>
      <w:marRight w:val="0"/>
      <w:marTop w:val="0"/>
      <w:marBottom w:val="0"/>
      <w:divBdr>
        <w:top w:val="none" w:sz="0" w:space="0" w:color="auto"/>
        <w:left w:val="none" w:sz="0" w:space="0" w:color="auto"/>
        <w:bottom w:val="none" w:sz="0" w:space="0" w:color="auto"/>
        <w:right w:val="none" w:sz="0" w:space="0" w:color="auto"/>
      </w:divBdr>
    </w:div>
    <w:div w:id="499347134">
      <w:bodyDiv w:val="1"/>
      <w:marLeft w:val="0"/>
      <w:marRight w:val="0"/>
      <w:marTop w:val="0"/>
      <w:marBottom w:val="0"/>
      <w:divBdr>
        <w:top w:val="none" w:sz="0" w:space="0" w:color="auto"/>
        <w:left w:val="none" w:sz="0" w:space="0" w:color="auto"/>
        <w:bottom w:val="none" w:sz="0" w:space="0" w:color="auto"/>
        <w:right w:val="none" w:sz="0" w:space="0" w:color="auto"/>
      </w:divBdr>
    </w:div>
    <w:div w:id="510291882">
      <w:bodyDiv w:val="1"/>
      <w:marLeft w:val="0"/>
      <w:marRight w:val="0"/>
      <w:marTop w:val="0"/>
      <w:marBottom w:val="0"/>
      <w:divBdr>
        <w:top w:val="none" w:sz="0" w:space="0" w:color="auto"/>
        <w:left w:val="none" w:sz="0" w:space="0" w:color="auto"/>
        <w:bottom w:val="none" w:sz="0" w:space="0" w:color="auto"/>
        <w:right w:val="none" w:sz="0" w:space="0" w:color="auto"/>
      </w:divBdr>
    </w:div>
    <w:div w:id="510342454">
      <w:bodyDiv w:val="1"/>
      <w:marLeft w:val="0"/>
      <w:marRight w:val="0"/>
      <w:marTop w:val="0"/>
      <w:marBottom w:val="0"/>
      <w:divBdr>
        <w:top w:val="none" w:sz="0" w:space="0" w:color="auto"/>
        <w:left w:val="none" w:sz="0" w:space="0" w:color="auto"/>
        <w:bottom w:val="none" w:sz="0" w:space="0" w:color="auto"/>
        <w:right w:val="none" w:sz="0" w:space="0" w:color="auto"/>
      </w:divBdr>
      <w:divsChild>
        <w:div w:id="1498425888">
          <w:marLeft w:val="0"/>
          <w:marRight w:val="0"/>
          <w:marTop w:val="0"/>
          <w:marBottom w:val="0"/>
          <w:divBdr>
            <w:top w:val="none" w:sz="0" w:space="0" w:color="auto"/>
            <w:left w:val="none" w:sz="0" w:space="0" w:color="auto"/>
            <w:bottom w:val="none" w:sz="0" w:space="0" w:color="auto"/>
            <w:right w:val="none" w:sz="0" w:space="0" w:color="auto"/>
          </w:divBdr>
          <w:divsChild>
            <w:div w:id="623267961">
              <w:marLeft w:val="0"/>
              <w:marRight w:val="0"/>
              <w:marTop w:val="0"/>
              <w:marBottom w:val="0"/>
              <w:divBdr>
                <w:top w:val="none" w:sz="0" w:space="0" w:color="auto"/>
                <w:left w:val="none" w:sz="0" w:space="0" w:color="auto"/>
                <w:bottom w:val="none" w:sz="0" w:space="0" w:color="auto"/>
                <w:right w:val="none" w:sz="0" w:space="0" w:color="auto"/>
              </w:divBdr>
              <w:divsChild>
                <w:div w:id="597252353">
                  <w:marLeft w:val="0"/>
                  <w:marRight w:val="0"/>
                  <w:marTop w:val="0"/>
                  <w:marBottom w:val="0"/>
                  <w:divBdr>
                    <w:top w:val="none" w:sz="0" w:space="0" w:color="auto"/>
                    <w:left w:val="none" w:sz="0" w:space="0" w:color="auto"/>
                    <w:bottom w:val="none" w:sz="0" w:space="0" w:color="auto"/>
                    <w:right w:val="none" w:sz="0" w:space="0" w:color="auto"/>
                  </w:divBdr>
                  <w:divsChild>
                    <w:div w:id="181798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087249">
      <w:bodyDiv w:val="1"/>
      <w:marLeft w:val="0"/>
      <w:marRight w:val="0"/>
      <w:marTop w:val="0"/>
      <w:marBottom w:val="0"/>
      <w:divBdr>
        <w:top w:val="none" w:sz="0" w:space="0" w:color="auto"/>
        <w:left w:val="none" w:sz="0" w:space="0" w:color="auto"/>
        <w:bottom w:val="none" w:sz="0" w:space="0" w:color="auto"/>
        <w:right w:val="none" w:sz="0" w:space="0" w:color="auto"/>
      </w:divBdr>
    </w:div>
    <w:div w:id="535625997">
      <w:bodyDiv w:val="1"/>
      <w:marLeft w:val="0"/>
      <w:marRight w:val="0"/>
      <w:marTop w:val="0"/>
      <w:marBottom w:val="0"/>
      <w:divBdr>
        <w:top w:val="none" w:sz="0" w:space="0" w:color="auto"/>
        <w:left w:val="none" w:sz="0" w:space="0" w:color="auto"/>
        <w:bottom w:val="none" w:sz="0" w:space="0" w:color="auto"/>
        <w:right w:val="none" w:sz="0" w:space="0" w:color="auto"/>
      </w:divBdr>
    </w:div>
    <w:div w:id="545219765">
      <w:bodyDiv w:val="1"/>
      <w:marLeft w:val="0"/>
      <w:marRight w:val="0"/>
      <w:marTop w:val="0"/>
      <w:marBottom w:val="0"/>
      <w:divBdr>
        <w:top w:val="none" w:sz="0" w:space="0" w:color="auto"/>
        <w:left w:val="none" w:sz="0" w:space="0" w:color="auto"/>
        <w:bottom w:val="none" w:sz="0" w:space="0" w:color="auto"/>
        <w:right w:val="none" w:sz="0" w:space="0" w:color="auto"/>
      </w:divBdr>
    </w:div>
    <w:div w:id="547760171">
      <w:bodyDiv w:val="1"/>
      <w:marLeft w:val="0"/>
      <w:marRight w:val="0"/>
      <w:marTop w:val="0"/>
      <w:marBottom w:val="0"/>
      <w:divBdr>
        <w:top w:val="none" w:sz="0" w:space="0" w:color="auto"/>
        <w:left w:val="none" w:sz="0" w:space="0" w:color="auto"/>
        <w:bottom w:val="none" w:sz="0" w:space="0" w:color="auto"/>
        <w:right w:val="none" w:sz="0" w:space="0" w:color="auto"/>
      </w:divBdr>
    </w:div>
    <w:div w:id="550772175">
      <w:bodyDiv w:val="1"/>
      <w:marLeft w:val="0"/>
      <w:marRight w:val="0"/>
      <w:marTop w:val="0"/>
      <w:marBottom w:val="0"/>
      <w:divBdr>
        <w:top w:val="none" w:sz="0" w:space="0" w:color="auto"/>
        <w:left w:val="none" w:sz="0" w:space="0" w:color="auto"/>
        <w:bottom w:val="none" w:sz="0" w:space="0" w:color="auto"/>
        <w:right w:val="none" w:sz="0" w:space="0" w:color="auto"/>
      </w:divBdr>
    </w:div>
    <w:div w:id="555556302">
      <w:bodyDiv w:val="1"/>
      <w:marLeft w:val="0"/>
      <w:marRight w:val="0"/>
      <w:marTop w:val="0"/>
      <w:marBottom w:val="0"/>
      <w:divBdr>
        <w:top w:val="none" w:sz="0" w:space="0" w:color="auto"/>
        <w:left w:val="none" w:sz="0" w:space="0" w:color="auto"/>
        <w:bottom w:val="none" w:sz="0" w:space="0" w:color="auto"/>
        <w:right w:val="none" w:sz="0" w:space="0" w:color="auto"/>
      </w:divBdr>
    </w:div>
    <w:div w:id="566839814">
      <w:bodyDiv w:val="1"/>
      <w:marLeft w:val="0"/>
      <w:marRight w:val="0"/>
      <w:marTop w:val="0"/>
      <w:marBottom w:val="0"/>
      <w:divBdr>
        <w:top w:val="none" w:sz="0" w:space="0" w:color="auto"/>
        <w:left w:val="none" w:sz="0" w:space="0" w:color="auto"/>
        <w:bottom w:val="none" w:sz="0" w:space="0" w:color="auto"/>
        <w:right w:val="none" w:sz="0" w:space="0" w:color="auto"/>
      </w:divBdr>
    </w:div>
    <w:div w:id="567568476">
      <w:bodyDiv w:val="1"/>
      <w:marLeft w:val="0"/>
      <w:marRight w:val="0"/>
      <w:marTop w:val="0"/>
      <w:marBottom w:val="0"/>
      <w:divBdr>
        <w:top w:val="none" w:sz="0" w:space="0" w:color="auto"/>
        <w:left w:val="none" w:sz="0" w:space="0" w:color="auto"/>
        <w:bottom w:val="none" w:sz="0" w:space="0" w:color="auto"/>
        <w:right w:val="none" w:sz="0" w:space="0" w:color="auto"/>
      </w:divBdr>
    </w:div>
    <w:div w:id="569116562">
      <w:bodyDiv w:val="1"/>
      <w:marLeft w:val="0"/>
      <w:marRight w:val="0"/>
      <w:marTop w:val="0"/>
      <w:marBottom w:val="0"/>
      <w:divBdr>
        <w:top w:val="none" w:sz="0" w:space="0" w:color="auto"/>
        <w:left w:val="none" w:sz="0" w:space="0" w:color="auto"/>
        <w:bottom w:val="none" w:sz="0" w:space="0" w:color="auto"/>
        <w:right w:val="none" w:sz="0" w:space="0" w:color="auto"/>
      </w:divBdr>
    </w:div>
    <w:div w:id="573898883">
      <w:bodyDiv w:val="1"/>
      <w:marLeft w:val="0"/>
      <w:marRight w:val="0"/>
      <w:marTop w:val="0"/>
      <w:marBottom w:val="0"/>
      <w:divBdr>
        <w:top w:val="none" w:sz="0" w:space="0" w:color="auto"/>
        <w:left w:val="none" w:sz="0" w:space="0" w:color="auto"/>
        <w:bottom w:val="none" w:sz="0" w:space="0" w:color="auto"/>
        <w:right w:val="none" w:sz="0" w:space="0" w:color="auto"/>
      </w:divBdr>
    </w:div>
    <w:div w:id="586235576">
      <w:bodyDiv w:val="1"/>
      <w:marLeft w:val="0"/>
      <w:marRight w:val="0"/>
      <w:marTop w:val="0"/>
      <w:marBottom w:val="0"/>
      <w:divBdr>
        <w:top w:val="none" w:sz="0" w:space="0" w:color="auto"/>
        <w:left w:val="none" w:sz="0" w:space="0" w:color="auto"/>
        <w:bottom w:val="none" w:sz="0" w:space="0" w:color="auto"/>
        <w:right w:val="none" w:sz="0" w:space="0" w:color="auto"/>
      </w:divBdr>
    </w:div>
    <w:div w:id="632558217">
      <w:bodyDiv w:val="1"/>
      <w:marLeft w:val="0"/>
      <w:marRight w:val="0"/>
      <w:marTop w:val="0"/>
      <w:marBottom w:val="0"/>
      <w:divBdr>
        <w:top w:val="none" w:sz="0" w:space="0" w:color="auto"/>
        <w:left w:val="none" w:sz="0" w:space="0" w:color="auto"/>
        <w:bottom w:val="none" w:sz="0" w:space="0" w:color="auto"/>
        <w:right w:val="none" w:sz="0" w:space="0" w:color="auto"/>
      </w:divBdr>
    </w:div>
    <w:div w:id="632759366">
      <w:bodyDiv w:val="1"/>
      <w:marLeft w:val="0"/>
      <w:marRight w:val="0"/>
      <w:marTop w:val="0"/>
      <w:marBottom w:val="0"/>
      <w:divBdr>
        <w:top w:val="none" w:sz="0" w:space="0" w:color="auto"/>
        <w:left w:val="none" w:sz="0" w:space="0" w:color="auto"/>
        <w:bottom w:val="none" w:sz="0" w:space="0" w:color="auto"/>
        <w:right w:val="none" w:sz="0" w:space="0" w:color="auto"/>
      </w:divBdr>
    </w:div>
    <w:div w:id="634457737">
      <w:bodyDiv w:val="1"/>
      <w:marLeft w:val="0"/>
      <w:marRight w:val="0"/>
      <w:marTop w:val="0"/>
      <w:marBottom w:val="0"/>
      <w:divBdr>
        <w:top w:val="none" w:sz="0" w:space="0" w:color="auto"/>
        <w:left w:val="none" w:sz="0" w:space="0" w:color="auto"/>
        <w:bottom w:val="none" w:sz="0" w:space="0" w:color="auto"/>
        <w:right w:val="none" w:sz="0" w:space="0" w:color="auto"/>
      </w:divBdr>
    </w:div>
    <w:div w:id="663434729">
      <w:bodyDiv w:val="1"/>
      <w:marLeft w:val="0"/>
      <w:marRight w:val="0"/>
      <w:marTop w:val="0"/>
      <w:marBottom w:val="0"/>
      <w:divBdr>
        <w:top w:val="none" w:sz="0" w:space="0" w:color="auto"/>
        <w:left w:val="none" w:sz="0" w:space="0" w:color="auto"/>
        <w:bottom w:val="none" w:sz="0" w:space="0" w:color="auto"/>
        <w:right w:val="none" w:sz="0" w:space="0" w:color="auto"/>
      </w:divBdr>
    </w:div>
    <w:div w:id="688987737">
      <w:bodyDiv w:val="1"/>
      <w:marLeft w:val="0"/>
      <w:marRight w:val="0"/>
      <w:marTop w:val="0"/>
      <w:marBottom w:val="0"/>
      <w:divBdr>
        <w:top w:val="none" w:sz="0" w:space="0" w:color="auto"/>
        <w:left w:val="none" w:sz="0" w:space="0" w:color="auto"/>
        <w:bottom w:val="none" w:sz="0" w:space="0" w:color="auto"/>
        <w:right w:val="none" w:sz="0" w:space="0" w:color="auto"/>
      </w:divBdr>
    </w:div>
    <w:div w:id="690497544">
      <w:bodyDiv w:val="1"/>
      <w:marLeft w:val="0"/>
      <w:marRight w:val="0"/>
      <w:marTop w:val="0"/>
      <w:marBottom w:val="0"/>
      <w:divBdr>
        <w:top w:val="none" w:sz="0" w:space="0" w:color="auto"/>
        <w:left w:val="none" w:sz="0" w:space="0" w:color="auto"/>
        <w:bottom w:val="none" w:sz="0" w:space="0" w:color="auto"/>
        <w:right w:val="none" w:sz="0" w:space="0" w:color="auto"/>
      </w:divBdr>
    </w:div>
    <w:div w:id="697006296">
      <w:bodyDiv w:val="1"/>
      <w:marLeft w:val="0"/>
      <w:marRight w:val="0"/>
      <w:marTop w:val="0"/>
      <w:marBottom w:val="0"/>
      <w:divBdr>
        <w:top w:val="none" w:sz="0" w:space="0" w:color="auto"/>
        <w:left w:val="none" w:sz="0" w:space="0" w:color="auto"/>
        <w:bottom w:val="none" w:sz="0" w:space="0" w:color="auto"/>
        <w:right w:val="none" w:sz="0" w:space="0" w:color="auto"/>
      </w:divBdr>
    </w:div>
    <w:div w:id="697853805">
      <w:bodyDiv w:val="1"/>
      <w:marLeft w:val="0"/>
      <w:marRight w:val="0"/>
      <w:marTop w:val="0"/>
      <w:marBottom w:val="0"/>
      <w:divBdr>
        <w:top w:val="none" w:sz="0" w:space="0" w:color="auto"/>
        <w:left w:val="none" w:sz="0" w:space="0" w:color="auto"/>
        <w:bottom w:val="none" w:sz="0" w:space="0" w:color="auto"/>
        <w:right w:val="none" w:sz="0" w:space="0" w:color="auto"/>
      </w:divBdr>
    </w:div>
    <w:div w:id="750927889">
      <w:bodyDiv w:val="1"/>
      <w:marLeft w:val="0"/>
      <w:marRight w:val="0"/>
      <w:marTop w:val="0"/>
      <w:marBottom w:val="0"/>
      <w:divBdr>
        <w:top w:val="none" w:sz="0" w:space="0" w:color="auto"/>
        <w:left w:val="none" w:sz="0" w:space="0" w:color="auto"/>
        <w:bottom w:val="none" w:sz="0" w:space="0" w:color="auto"/>
        <w:right w:val="none" w:sz="0" w:space="0" w:color="auto"/>
      </w:divBdr>
    </w:div>
    <w:div w:id="753091913">
      <w:bodyDiv w:val="1"/>
      <w:marLeft w:val="0"/>
      <w:marRight w:val="0"/>
      <w:marTop w:val="0"/>
      <w:marBottom w:val="0"/>
      <w:divBdr>
        <w:top w:val="none" w:sz="0" w:space="0" w:color="auto"/>
        <w:left w:val="none" w:sz="0" w:space="0" w:color="auto"/>
        <w:bottom w:val="none" w:sz="0" w:space="0" w:color="auto"/>
        <w:right w:val="none" w:sz="0" w:space="0" w:color="auto"/>
      </w:divBdr>
    </w:div>
    <w:div w:id="766582491">
      <w:bodyDiv w:val="1"/>
      <w:marLeft w:val="0"/>
      <w:marRight w:val="0"/>
      <w:marTop w:val="0"/>
      <w:marBottom w:val="0"/>
      <w:divBdr>
        <w:top w:val="none" w:sz="0" w:space="0" w:color="auto"/>
        <w:left w:val="none" w:sz="0" w:space="0" w:color="auto"/>
        <w:bottom w:val="none" w:sz="0" w:space="0" w:color="auto"/>
        <w:right w:val="none" w:sz="0" w:space="0" w:color="auto"/>
      </w:divBdr>
    </w:div>
    <w:div w:id="768162369">
      <w:bodyDiv w:val="1"/>
      <w:marLeft w:val="0"/>
      <w:marRight w:val="0"/>
      <w:marTop w:val="0"/>
      <w:marBottom w:val="0"/>
      <w:divBdr>
        <w:top w:val="none" w:sz="0" w:space="0" w:color="auto"/>
        <w:left w:val="none" w:sz="0" w:space="0" w:color="auto"/>
        <w:bottom w:val="none" w:sz="0" w:space="0" w:color="auto"/>
        <w:right w:val="none" w:sz="0" w:space="0" w:color="auto"/>
      </w:divBdr>
    </w:div>
    <w:div w:id="768310119">
      <w:bodyDiv w:val="1"/>
      <w:marLeft w:val="0"/>
      <w:marRight w:val="0"/>
      <w:marTop w:val="0"/>
      <w:marBottom w:val="0"/>
      <w:divBdr>
        <w:top w:val="none" w:sz="0" w:space="0" w:color="auto"/>
        <w:left w:val="none" w:sz="0" w:space="0" w:color="auto"/>
        <w:bottom w:val="none" w:sz="0" w:space="0" w:color="auto"/>
        <w:right w:val="none" w:sz="0" w:space="0" w:color="auto"/>
      </w:divBdr>
    </w:div>
    <w:div w:id="804347013">
      <w:bodyDiv w:val="1"/>
      <w:marLeft w:val="0"/>
      <w:marRight w:val="0"/>
      <w:marTop w:val="0"/>
      <w:marBottom w:val="0"/>
      <w:divBdr>
        <w:top w:val="none" w:sz="0" w:space="0" w:color="auto"/>
        <w:left w:val="none" w:sz="0" w:space="0" w:color="auto"/>
        <w:bottom w:val="none" w:sz="0" w:space="0" w:color="auto"/>
        <w:right w:val="none" w:sz="0" w:space="0" w:color="auto"/>
      </w:divBdr>
    </w:div>
    <w:div w:id="808284974">
      <w:bodyDiv w:val="1"/>
      <w:marLeft w:val="0"/>
      <w:marRight w:val="0"/>
      <w:marTop w:val="0"/>
      <w:marBottom w:val="0"/>
      <w:divBdr>
        <w:top w:val="none" w:sz="0" w:space="0" w:color="auto"/>
        <w:left w:val="none" w:sz="0" w:space="0" w:color="auto"/>
        <w:bottom w:val="none" w:sz="0" w:space="0" w:color="auto"/>
        <w:right w:val="none" w:sz="0" w:space="0" w:color="auto"/>
      </w:divBdr>
      <w:divsChild>
        <w:div w:id="80030280">
          <w:marLeft w:val="0"/>
          <w:marRight w:val="0"/>
          <w:marTop w:val="0"/>
          <w:marBottom w:val="0"/>
          <w:divBdr>
            <w:top w:val="none" w:sz="0" w:space="0" w:color="auto"/>
            <w:left w:val="none" w:sz="0" w:space="0" w:color="auto"/>
            <w:bottom w:val="none" w:sz="0" w:space="0" w:color="auto"/>
            <w:right w:val="none" w:sz="0" w:space="0" w:color="auto"/>
          </w:divBdr>
          <w:divsChild>
            <w:div w:id="805317859">
              <w:marLeft w:val="0"/>
              <w:marRight w:val="0"/>
              <w:marTop w:val="0"/>
              <w:marBottom w:val="0"/>
              <w:divBdr>
                <w:top w:val="none" w:sz="0" w:space="0" w:color="auto"/>
                <w:left w:val="none" w:sz="0" w:space="0" w:color="auto"/>
                <w:bottom w:val="none" w:sz="0" w:space="0" w:color="auto"/>
                <w:right w:val="none" w:sz="0" w:space="0" w:color="auto"/>
              </w:divBdr>
              <w:divsChild>
                <w:div w:id="1296717114">
                  <w:marLeft w:val="0"/>
                  <w:marRight w:val="0"/>
                  <w:marTop w:val="0"/>
                  <w:marBottom w:val="0"/>
                  <w:divBdr>
                    <w:top w:val="none" w:sz="0" w:space="0" w:color="auto"/>
                    <w:left w:val="none" w:sz="0" w:space="0" w:color="auto"/>
                    <w:bottom w:val="none" w:sz="0" w:space="0" w:color="auto"/>
                    <w:right w:val="none" w:sz="0" w:space="0" w:color="auto"/>
                  </w:divBdr>
                  <w:divsChild>
                    <w:div w:id="983853786">
                      <w:marLeft w:val="0"/>
                      <w:marRight w:val="0"/>
                      <w:marTop w:val="0"/>
                      <w:marBottom w:val="0"/>
                      <w:divBdr>
                        <w:top w:val="none" w:sz="0" w:space="0" w:color="auto"/>
                        <w:left w:val="none" w:sz="0" w:space="0" w:color="auto"/>
                        <w:bottom w:val="none" w:sz="0" w:space="0" w:color="auto"/>
                        <w:right w:val="none" w:sz="0" w:space="0" w:color="auto"/>
                      </w:divBdr>
                      <w:divsChild>
                        <w:div w:id="1370184208">
                          <w:marLeft w:val="0"/>
                          <w:marRight w:val="0"/>
                          <w:marTop w:val="0"/>
                          <w:marBottom w:val="0"/>
                          <w:divBdr>
                            <w:top w:val="none" w:sz="0" w:space="0" w:color="auto"/>
                            <w:left w:val="none" w:sz="0" w:space="0" w:color="auto"/>
                            <w:bottom w:val="none" w:sz="0" w:space="0" w:color="auto"/>
                            <w:right w:val="none" w:sz="0" w:space="0" w:color="auto"/>
                          </w:divBdr>
                          <w:divsChild>
                            <w:div w:id="194805491">
                              <w:marLeft w:val="0"/>
                              <w:marRight w:val="0"/>
                              <w:marTop w:val="0"/>
                              <w:marBottom w:val="0"/>
                              <w:divBdr>
                                <w:top w:val="none" w:sz="0" w:space="0" w:color="auto"/>
                                <w:left w:val="none" w:sz="0" w:space="0" w:color="auto"/>
                                <w:bottom w:val="none" w:sz="0" w:space="0" w:color="auto"/>
                                <w:right w:val="none" w:sz="0" w:space="0" w:color="auto"/>
                              </w:divBdr>
                              <w:divsChild>
                                <w:div w:id="1526169029">
                                  <w:marLeft w:val="0"/>
                                  <w:marRight w:val="0"/>
                                  <w:marTop w:val="0"/>
                                  <w:marBottom w:val="0"/>
                                  <w:divBdr>
                                    <w:top w:val="none" w:sz="0" w:space="0" w:color="auto"/>
                                    <w:left w:val="none" w:sz="0" w:space="0" w:color="auto"/>
                                    <w:bottom w:val="none" w:sz="0" w:space="0" w:color="auto"/>
                                    <w:right w:val="none" w:sz="0" w:space="0" w:color="auto"/>
                                  </w:divBdr>
                                  <w:divsChild>
                                    <w:div w:id="25174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5802271">
      <w:bodyDiv w:val="1"/>
      <w:marLeft w:val="0"/>
      <w:marRight w:val="0"/>
      <w:marTop w:val="0"/>
      <w:marBottom w:val="0"/>
      <w:divBdr>
        <w:top w:val="none" w:sz="0" w:space="0" w:color="auto"/>
        <w:left w:val="none" w:sz="0" w:space="0" w:color="auto"/>
        <w:bottom w:val="none" w:sz="0" w:space="0" w:color="auto"/>
        <w:right w:val="none" w:sz="0" w:space="0" w:color="auto"/>
      </w:divBdr>
    </w:div>
    <w:div w:id="823396326">
      <w:bodyDiv w:val="1"/>
      <w:marLeft w:val="0"/>
      <w:marRight w:val="0"/>
      <w:marTop w:val="0"/>
      <w:marBottom w:val="0"/>
      <w:divBdr>
        <w:top w:val="none" w:sz="0" w:space="0" w:color="auto"/>
        <w:left w:val="none" w:sz="0" w:space="0" w:color="auto"/>
        <w:bottom w:val="none" w:sz="0" w:space="0" w:color="auto"/>
        <w:right w:val="none" w:sz="0" w:space="0" w:color="auto"/>
      </w:divBdr>
    </w:div>
    <w:div w:id="829634639">
      <w:bodyDiv w:val="1"/>
      <w:marLeft w:val="0"/>
      <w:marRight w:val="0"/>
      <w:marTop w:val="0"/>
      <w:marBottom w:val="0"/>
      <w:divBdr>
        <w:top w:val="none" w:sz="0" w:space="0" w:color="auto"/>
        <w:left w:val="none" w:sz="0" w:space="0" w:color="auto"/>
        <w:bottom w:val="none" w:sz="0" w:space="0" w:color="auto"/>
        <w:right w:val="none" w:sz="0" w:space="0" w:color="auto"/>
      </w:divBdr>
    </w:div>
    <w:div w:id="837817263">
      <w:bodyDiv w:val="1"/>
      <w:marLeft w:val="0"/>
      <w:marRight w:val="0"/>
      <w:marTop w:val="0"/>
      <w:marBottom w:val="0"/>
      <w:divBdr>
        <w:top w:val="none" w:sz="0" w:space="0" w:color="auto"/>
        <w:left w:val="none" w:sz="0" w:space="0" w:color="auto"/>
        <w:bottom w:val="none" w:sz="0" w:space="0" w:color="auto"/>
        <w:right w:val="none" w:sz="0" w:space="0" w:color="auto"/>
      </w:divBdr>
    </w:div>
    <w:div w:id="842207614">
      <w:bodyDiv w:val="1"/>
      <w:marLeft w:val="0"/>
      <w:marRight w:val="0"/>
      <w:marTop w:val="0"/>
      <w:marBottom w:val="0"/>
      <w:divBdr>
        <w:top w:val="none" w:sz="0" w:space="0" w:color="auto"/>
        <w:left w:val="none" w:sz="0" w:space="0" w:color="auto"/>
        <w:bottom w:val="none" w:sz="0" w:space="0" w:color="auto"/>
        <w:right w:val="none" w:sz="0" w:space="0" w:color="auto"/>
      </w:divBdr>
    </w:div>
    <w:div w:id="846556232">
      <w:bodyDiv w:val="1"/>
      <w:marLeft w:val="0"/>
      <w:marRight w:val="0"/>
      <w:marTop w:val="0"/>
      <w:marBottom w:val="0"/>
      <w:divBdr>
        <w:top w:val="none" w:sz="0" w:space="0" w:color="auto"/>
        <w:left w:val="none" w:sz="0" w:space="0" w:color="auto"/>
        <w:bottom w:val="none" w:sz="0" w:space="0" w:color="auto"/>
        <w:right w:val="none" w:sz="0" w:space="0" w:color="auto"/>
      </w:divBdr>
    </w:div>
    <w:div w:id="875436434">
      <w:bodyDiv w:val="1"/>
      <w:marLeft w:val="0"/>
      <w:marRight w:val="0"/>
      <w:marTop w:val="0"/>
      <w:marBottom w:val="0"/>
      <w:divBdr>
        <w:top w:val="none" w:sz="0" w:space="0" w:color="auto"/>
        <w:left w:val="none" w:sz="0" w:space="0" w:color="auto"/>
        <w:bottom w:val="none" w:sz="0" w:space="0" w:color="auto"/>
        <w:right w:val="none" w:sz="0" w:space="0" w:color="auto"/>
      </w:divBdr>
    </w:div>
    <w:div w:id="886527721">
      <w:bodyDiv w:val="1"/>
      <w:marLeft w:val="0"/>
      <w:marRight w:val="0"/>
      <w:marTop w:val="0"/>
      <w:marBottom w:val="0"/>
      <w:divBdr>
        <w:top w:val="none" w:sz="0" w:space="0" w:color="auto"/>
        <w:left w:val="none" w:sz="0" w:space="0" w:color="auto"/>
        <w:bottom w:val="none" w:sz="0" w:space="0" w:color="auto"/>
        <w:right w:val="none" w:sz="0" w:space="0" w:color="auto"/>
      </w:divBdr>
    </w:div>
    <w:div w:id="887182147">
      <w:bodyDiv w:val="1"/>
      <w:marLeft w:val="0"/>
      <w:marRight w:val="0"/>
      <w:marTop w:val="0"/>
      <w:marBottom w:val="0"/>
      <w:divBdr>
        <w:top w:val="none" w:sz="0" w:space="0" w:color="auto"/>
        <w:left w:val="none" w:sz="0" w:space="0" w:color="auto"/>
        <w:bottom w:val="none" w:sz="0" w:space="0" w:color="auto"/>
        <w:right w:val="none" w:sz="0" w:space="0" w:color="auto"/>
      </w:divBdr>
    </w:div>
    <w:div w:id="903569429">
      <w:bodyDiv w:val="1"/>
      <w:marLeft w:val="0"/>
      <w:marRight w:val="0"/>
      <w:marTop w:val="0"/>
      <w:marBottom w:val="0"/>
      <w:divBdr>
        <w:top w:val="none" w:sz="0" w:space="0" w:color="auto"/>
        <w:left w:val="none" w:sz="0" w:space="0" w:color="auto"/>
        <w:bottom w:val="none" w:sz="0" w:space="0" w:color="auto"/>
        <w:right w:val="none" w:sz="0" w:space="0" w:color="auto"/>
      </w:divBdr>
    </w:div>
    <w:div w:id="928661816">
      <w:bodyDiv w:val="1"/>
      <w:marLeft w:val="0"/>
      <w:marRight w:val="0"/>
      <w:marTop w:val="0"/>
      <w:marBottom w:val="0"/>
      <w:divBdr>
        <w:top w:val="none" w:sz="0" w:space="0" w:color="auto"/>
        <w:left w:val="none" w:sz="0" w:space="0" w:color="auto"/>
        <w:bottom w:val="none" w:sz="0" w:space="0" w:color="auto"/>
        <w:right w:val="none" w:sz="0" w:space="0" w:color="auto"/>
      </w:divBdr>
    </w:div>
    <w:div w:id="959651925">
      <w:bodyDiv w:val="1"/>
      <w:marLeft w:val="0"/>
      <w:marRight w:val="0"/>
      <w:marTop w:val="0"/>
      <w:marBottom w:val="0"/>
      <w:divBdr>
        <w:top w:val="none" w:sz="0" w:space="0" w:color="auto"/>
        <w:left w:val="none" w:sz="0" w:space="0" w:color="auto"/>
        <w:bottom w:val="none" w:sz="0" w:space="0" w:color="auto"/>
        <w:right w:val="none" w:sz="0" w:space="0" w:color="auto"/>
      </w:divBdr>
    </w:div>
    <w:div w:id="989020368">
      <w:bodyDiv w:val="1"/>
      <w:marLeft w:val="0"/>
      <w:marRight w:val="0"/>
      <w:marTop w:val="0"/>
      <w:marBottom w:val="0"/>
      <w:divBdr>
        <w:top w:val="none" w:sz="0" w:space="0" w:color="auto"/>
        <w:left w:val="none" w:sz="0" w:space="0" w:color="auto"/>
        <w:bottom w:val="none" w:sz="0" w:space="0" w:color="auto"/>
        <w:right w:val="none" w:sz="0" w:space="0" w:color="auto"/>
      </w:divBdr>
    </w:div>
    <w:div w:id="1033774623">
      <w:bodyDiv w:val="1"/>
      <w:marLeft w:val="0"/>
      <w:marRight w:val="0"/>
      <w:marTop w:val="0"/>
      <w:marBottom w:val="0"/>
      <w:divBdr>
        <w:top w:val="none" w:sz="0" w:space="0" w:color="auto"/>
        <w:left w:val="none" w:sz="0" w:space="0" w:color="auto"/>
        <w:bottom w:val="none" w:sz="0" w:space="0" w:color="auto"/>
        <w:right w:val="none" w:sz="0" w:space="0" w:color="auto"/>
      </w:divBdr>
    </w:div>
    <w:div w:id="1052265916">
      <w:bodyDiv w:val="1"/>
      <w:marLeft w:val="0"/>
      <w:marRight w:val="0"/>
      <w:marTop w:val="0"/>
      <w:marBottom w:val="0"/>
      <w:divBdr>
        <w:top w:val="none" w:sz="0" w:space="0" w:color="auto"/>
        <w:left w:val="none" w:sz="0" w:space="0" w:color="auto"/>
        <w:bottom w:val="none" w:sz="0" w:space="0" w:color="auto"/>
        <w:right w:val="none" w:sz="0" w:space="0" w:color="auto"/>
      </w:divBdr>
    </w:div>
    <w:div w:id="1069571327">
      <w:bodyDiv w:val="1"/>
      <w:marLeft w:val="0"/>
      <w:marRight w:val="0"/>
      <w:marTop w:val="0"/>
      <w:marBottom w:val="0"/>
      <w:divBdr>
        <w:top w:val="none" w:sz="0" w:space="0" w:color="auto"/>
        <w:left w:val="none" w:sz="0" w:space="0" w:color="auto"/>
        <w:bottom w:val="none" w:sz="0" w:space="0" w:color="auto"/>
        <w:right w:val="none" w:sz="0" w:space="0" w:color="auto"/>
      </w:divBdr>
    </w:div>
    <w:div w:id="1071078662">
      <w:bodyDiv w:val="1"/>
      <w:marLeft w:val="0"/>
      <w:marRight w:val="0"/>
      <w:marTop w:val="0"/>
      <w:marBottom w:val="0"/>
      <w:divBdr>
        <w:top w:val="none" w:sz="0" w:space="0" w:color="auto"/>
        <w:left w:val="none" w:sz="0" w:space="0" w:color="auto"/>
        <w:bottom w:val="none" w:sz="0" w:space="0" w:color="auto"/>
        <w:right w:val="none" w:sz="0" w:space="0" w:color="auto"/>
      </w:divBdr>
    </w:div>
    <w:div w:id="1078861928">
      <w:bodyDiv w:val="1"/>
      <w:marLeft w:val="0"/>
      <w:marRight w:val="0"/>
      <w:marTop w:val="0"/>
      <w:marBottom w:val="0"/>
      <w:divBdr>
        <w:top w:val="none" w:sz="0" w:space="0" w:color="auto"/>
        <w:left w:val="none" w:sz="0" w:space="0" w:color="auto"/>
        <w:bottom w:val="none" w:sz="0" w:space="0" w:color="auto"/>
        <w:right w:val="none" w:sz="0" w:space="0" w:color="auto"/>
      </w:divBdr>
    </w:div>
    <w:div w:id="1078940943">
      <w:bodyDiv w:val="1"/>
      <w:marLeft w:val="0"/>
      <w:marRight w:val="0"/>
      <w:marTop w:val="0"/>
      <w:marBottom w:val="0"/>
      <w:divBdr>
        <w:top w:val="none" w:sz="0" w:space="0" w:color="auto"/>
        <w:left w:val="none" w:sz="0" w:space="0" w:color="auto"/>
        <w:bottom w:val="none" w:sz="0" w:space="0" w:color="auto"/>
        <w:right w:val="none" w:sz="0" w:space="0" w:color="auto"/>
      </w:divBdr>
    </w:div>
    <w:div w:id="1107895557">
      <w:bodyDiv w:val="1"/>
      <w:marLeft w:val="0"/>
      <w:marRight w:val="0"/>
      <w:marTop w:val="0"/>
      <w:marBottom w:val="0"/>
      <w:divBdr>
        <w:top w:val="none" w:sz="0" w:space="0" w:color="auto"/>
        <w:left w:val="none" w:sz="0" w:space="0" w:color="auto"/>
        <w:bottom w:val="none" w:sz="0" w:space="0" w:color="auto"/>
        <w:right w:val="none" w:sz="0" w:space="0" w:color="auto"/>
      </w:divBdr>
    </w:div>
    <w:div w:id="1111434722">
      <w:bodyDiv w:val="1"/>
      <w:marLeft w:val="0"/>
      <w:marRight w:val="0"/>
      <w:marTop w:val="0"/>
      <w:marBottom w:val="0"/>
      <w:divBdr>
        <w:top w:val="none" w:sz="0" w:space="0" w:color="auto"/>
        <w:left w:val="none" w:sz="0" w:space="0" w:color="auto"/>
        <w:bottom w:val="none" w:sz="0" w:space="0" w:color="auto"/>
        <w:right w:val="none" w:sz="0" w:space="0" w:color="auto"/>
      </w:divBdr>
    </w:div>
    <w:div w:id="1119034145">
      <w:bodyDiv w:val="1"/>
      <w:marLeft w:val="0"/>
      <w:marRight w:val="0"/>
      <w:marTop w:val="0"/>
      <w:marBottom w:val="0"/>
      <w:divBdr>
        <w:top w:val="none" w:sz="0" w:space="0" w:color="auto"/>
        <w:left w:val="none" w:sz="0" w:space="0" w:color="auto"/>
        <w:bottom w:val="none" w:sz="0" w:space="0" w:color="auto"/>
        <w:right w:val="none" w:sz="0" w:space="0" w:color="auto"/>
      </w:divBdr>
    </w:div>
    <w:div w:id="1120300153">
      <w:bodyDiv w:val="1"/>
      <w:marLeft w:val="0"/>
      <w:marRight w:val="0"/>
      <w:marTop w:val="0"/>
      <w:marBottom w:val="0"/>
      <w:divBdr>
        <w:top w:val="none" w:sz="0" w:space="0" w:color="auto"/>
        <w:left w:val="none" w:sz="0" w:space="0" w:color="auto"/>
        <w:bottom w:val="none" w:sz="0" w:space="0" w:color="auto"/>
        <w:right w:val="none" w:sz="0" w:space="0" w:color="auto"/>
      </w:divBdr>
    </w:div>
    <w:div w:id="1184318647">
      <w:bodyDiv w:val="1"/>
      <w:marLeft w:val="0"/>
      <w:marRight w:val="0"/>
      <w:marTop w:val="0"/>
      <w:marBottom w:val="0"/>
      <w:divBdr>
        <w:top w:val="none" w:sz="0" w:space="0" w:color="auto"/>
        <w:left w:val="none" w:sz="0" w:space="0" w:color="auto"/>
        <w:bottom w:val="none" w:sz="0" w:space="0" w:color="auto"/>
        <w:right w:val="none" w:sz="0" w:space="0" w:color="auto"/>
      </w:divBdr>
    </w:div>
    <w:div w:id="1187214057">
      <w:bodyDiv w:val="1"/>
      <w:marLeft w:val="0"/>
      <w:marRight w:val="0"/>
      <w:marTop w:val="0"/>
      <w:marBottom w:val="0"/>
      <w:divBdr>
        <w:top w:val="none" w:sz="0" w:space="0" w:color="auto"/>
        <w:left w:val="none" w:sz="0" w:space="0" w:color="auto"/>
        <w:bottom w:val="none" w:sz="0" w:space="0" w:color="auto"/>
        <w:right w:val="none" w:sz="0" w:space="0" w:color="auto"/>
      </w:divBdr>
    </w:div>
    <w:div w:id="1200775996">
      <w:bodyDiv w:val="1"/>
      <w:marLeft w:val="0"/>
      <w:marRight w:val="0"/>
      <w:marTop w:val="0"/>
      <w:marBottom w:val="0"/>
      <w:divBdr>
        <w:top w:val="none" w:sz="0" w:space="0" w:color="auto"/>
        <w:left w:val="none" w:sz="0" w:space="0" w:color="auto"/>
        <w:bottom w:val="none" w:sz="0" w:space="0" w:color="auto"/>
        <w:right w:val="none" w:sz="0" w:space="0" w:color="auto"/>
      </w:divBdr>
    </w:div>
    <w:div w:id="1204051377">
      <w:bodyDiv w:val="1"/>
      <w:marLeft w:val="0"/>
      <w:marRight w:val="0"/>
      <w:marTop w:val="0"/>
      <w:marBottom w:val="0"/>
      <w:divBdr>
        <w:top w:val="none" w:sz="0" w:space="0" w:color="auto"/>
        <w:left w:val="none" w:sz="0" w:space="0" w:color="auto"/>
        <w:bottom w:val="none" w:sz="0" w:space="0" w:color="auto"/>
        <w:right w:val="none" w:sz="0" w:space="0" w:color="auto"/>
      </w:divBdr>
    </w:div>
    <w:div w:id="1223563238">
      <w:bodyDiv w:val="1"/>
      <w:marLeft w:val="0"/>
      <w:marRight w:val="0"/>
      <w:marTop w:val="0"/>
      <w:marBottom w:val="0"/>
      <w:divBdr>
        <w:top w:val="none" w:sz="0" w:space="0" w:color="auto"/>
        <w:left w:val="none" w:sz="0" w:space="0" w:color="auto"/>
        <w:bottom w:val="none" w:sz="0" w:space="0" w:color="auto"/>
        <w:right w:val="none" w:sz="0" w:space="0" w:color="auto"/>
      </w:divBdr>
    </w:div>
    <w:div w:id="1224440684">
      <w:bodyDiv w:val="1"/>
      <w:marLeft w:val="0"/>
      <w:marRight w:val="0"/>
      <w:marTop w:val="0"/>
      <w:marBottom w:val="0"/>
      <w:divBdr>
        <w:top w:val="none" w:sz="0" w:space="0" w:color="auto"/>
        <w:left w:val="none" w:sz="0" w:space="0" w:color="auto"/>
        <w:bottom w:val="none" w:sz="0" w:space="0" w:color="auto"/>
        <w:right w:val="none" w:sz="0" w:space="0" w:color="auto"/>
      </w:divBdr>
    </w:div>
    <w:div w:id="1251816221">
      <w:bodyDiv w:val="1"/>
      <w:marLeft w:val="0"/>
      <w:marRight w:val="0"/>
      <w:marTop w:val="0"/>
      <w:marBottom w:val="0"/>
      <w:divBdr>
        <w:top w:val="none" w:sz="0" w:space="0" w:color="auto"/>
        <w:left w:val="none" w:sz="0" w:space="0" w:color="auto"/>
        <w:bottom w:val="none" w:sz="0" w:space="0" w:color="auto"/>
        <w:right w:val="none" w:sz="0" w:space="0" w:color="auto"/>
      </w:divBdr>
    </w:div>
    <w:div w:id="1261599143">
      <w:bodyDiv w:val="1"/>
      <w:marLeft w:val="0"/>
      <w:marRight w:val="0"/>
      <w:marTop w:val="0"/>
      <w:marBottom w:val="0"/>
      <w:divBdr>
        <w:top w:val="none" w:sz="0" w:space="0" w:color="auto"/>
        <w:left w:val="none" w:sz="0" w:space="0" w:color="auto"/>
        <w:bottom w:val="none" w:sz="0" w:space="0" w:color="auto"/>
        <w:right w:val="none" w:sz="0" w:space="0" w:color="auto"/>
      </w:divBdr>
    </w:div>
    <w:div w:id="1275014859">
      <w:bodyDiv w:val="1"/>
      <w:marLeft w:val="0"/>
      <w:marRight w:val="0"/>
      <w:marTop w:val="0"/>
      <w:marBottom w:val="0"/>
      <w:divBdr>
        <w:top w:val="none" w:sz="0" w:space="0" w:color="auto"/>
        <w:left w:val="none" w:sz="0" w:space="0" w:color="auto"/>
        <w:bottom w:val="none" w:sz="0" w:space="0" w:color="auto"/>
        <w:right w:val="none" w:sz="0" w:space="0" w:color="auto"/>
      </w:divBdr>
    </w:div>
    <w:div w:id="1283076272">
      <w:bodyDiv w:val="1"/>
      <w:marLeft w:val="0"/>
      <w:marRight w:val="0"/>
      <w:marTop w:val="0"/>
      <w:marBottom w:val="0"/>
      <w:divBdr>
        <w:top w:val="none" w:sz="0" w:space="0" w:color="auto"/>
        <w:left w:val="none" w:sz="0" w:space="0" w:color="auto"/>
        <w:bottom w:val="none" w:sz="0" w:space="0" w:color="auto"/>
        <w:right w:val="none" w:sz="0" w:space="0" w:color="auto"/>
      </w:divBdr>
    </w:div>
    <w:div w:id="1286623561">
      <w:bodyDiv w:val="1"/>
      <w:marLeft w:val="0"/>
      <w:marRight w:val="0"/>
      <w:marTop w:val="0"/>
      <w:marBottom w:val="0"/>
      <w:divBdr>
        <w:top w:val="none" w:sz="0" w:space="0" w:color="auto"/>
        <w:left w:val="none" w:sz="0" w:space="0" w:color="auto"/>
        <w:bottom w:val="none" w:sz="0" w:space="0" w:color="auto"/>
        <w:right w:val="none" w:sz="0" w:space="0" w:color="auto"/>
      </w:divBdr>
    </w:div>
    <w:div w:id="1294408141">
      <w:bodyDiv w:val="1"/>
      <w:marLeft w:val="0"/>
      <w:marRight w:val="0"/>
      <w:marTop w:val="0"/>
      <w:marBottom w:val="0"/>
      <w:divBdr>
        <w:top w:val="none" w:sz="0" w:space="0" w:color="auto"/>
        <w:left w:val="none" w:sz="0" w:space="0" w:color="auto"/>
        <w:bottom w:val="none" w:sz="0" w:space="0" w:color="auto"/>
        <w:right w:val="none" w:sz="0" w:space="0" w:color="auto"/>
      </w:divBdr>
    </w:div>
    <w:div w:id="1299187652">
      <w:bodyDiv w:val="1"/>
      <w:marLeft w:val="0"/>
      <w:marRight w:val="0"/>
      <w:marTop w:val="0"/>
      <w:marBottom w:val="0"/>
      <w:divBdr>
        <w:top w:val="none" w:sz="0" w:space="0" w:color="auto"/>
        <w:left w:val="none" w:sz="0" w:space="0" w:color="auto"/>
        <w:bottom w:val="none" w:sz="0" w:space="0" w:color="auto"/>
        <w:right w:val="none" w:sz="0" w:space="0" w:color="auto"/>
      </w:divBdr>
    </w:div>
    <w:div w:id="1301224800">
      <w:bodyDiv w:val="1"/>
      <w:marLeft w:val="0"/>
      <w:marRight w:val="0"/>
      <w:marTop w:val="0"/>
      <w:marBottom w:val="0"/>
      <w:divBdr>
        <w:top w:val="none" w:sz="0" w:space="0" w:color="auto"/>
        <w:left w:val="none" w:sz="0" w:space="0" w:color="auto"/>
        <w:bottom w:val="none" w:sz="0" w:space="0" w:color="auto"/>
        <w:right w:val="none" w:sz="0" w:space="0" w:color="auto"/>
      </w:divBdr>
    </w:div>
    <w:div w:id="1325089129">
      <w:bodyDiv w:val="1"/>
      <w:marLeft w:val="0"/>
      <w:marRight w:val="0"/>
      <w:marTop w:val="0"/>
      <w:marBottom w:val="0"/>
      <w:divBdr>
        <w:top w:val="none" w:sz="0" w:space="0" w:color="auto"/>
        <w:left w:val="none" w:sz="0" w:space="0" w:color="auto"/>
        <w:bottom w:val="none" w:sz="0" w:space="0" w:color="auto"/>
        <w:right w:val="none" w:sz="0" w:space="0" w:color="auto"/>
      </w:divBdr>
    </w:div>
    <w:div w:id="1330673147">
      <w:bodyDiv w:val="1"/>
      <w:marLeft w:val="0"/>
      <w:marRight w:val="0"/>
      <w:marTop w:val="0"/>
      <w:marBottom w:val="0"/>
      <w:divBdr>
        <w:top w:val="none" w:sz="0" w:space="0" w:color="auto"/>
        <w:left w:val="none" w:sz="0" w:space="0" w:color="auto"/>
        <w:bottom w:val="none" w:sz="0" w:space="0" w:color="auto"/>
        <w:right w:val="none" w:sz="0" w:space="0" w:color="auto"/>
      </w:divBdr>
    </w:div>
    <w:div w:id="1352223583">
      <w:bodyDiv w:val="1"/>
      <w:marLeft w:val="0"/>
      <w:marRight w:val="0"/>
      <w:marTop w:val="0"/>
      <w:marBottom w:val="0"/>
      <w:divBdr>
        <w:top w:val="none" w:sz="0" w:space="0" w:color="auto"/>
        <w:left w:val="none" w:sz="0" w:space="0" w:color="auto"/>
        <w:bottom w:val="none" w:sz="0" w:space="0" w:color="auto"/>
        <w:right w:val="none" w:sz="0" w:space="0" w:color="auto"/>
      </w:divBdr>
    </w:div>
    <w:div w:id="1354578312">
      <w:bodyDiv w:val="1"/>
      <w:marLeft w:val="0"/>
      <w:marRight w:val="0"/>
      <w:marTop w:val="0"/>
      <w:marBottom w:val="0"/>
      <w:divBdr>
        <w:top w:val="none" w:sz="0" w:space="0" w:color="auto"/>
        <w:left w:val="none" w:sz="0" w:space="0" w:color="auto"/>
        <w:bottom w:val="none" w:sz="0" w:space="0" w:color="auto"/>
        <w:right w:val="none" w:sz="0" w:space="0" w:color="auto"/>
      </w:divBdr>
    </w:div>
    <w:div w:id="1363701221">
      <w:bodyDiv w:val="1"/>
      <w:marLeft w:val="0"/>
      <w:marRight w:val="0"/>
      <w:marTop w:val="0"/>
      <w:marBottom w:val="0"/>
      <w:divBdr>
        <w:top w:val="none" w:sz="0" w:space="0" w:color="auto"/>
        <w:left w:val="none" w:sz="0" w:space="0" w:color="auto"/>
        <w:bottom w:val="none" w:sz="0" w:space="0" w:color="auto"/>
        <w:right w:val="none" w:sz="0" w:space="0" w:color="auto"/>
      </w:divBdr>
    </w:div>
    <w:div w:id="1371346933">
      <w:bodyDiv w:val="1"/>
      <w:marLeft w:val="0"/>
      <w:marRight w:val="0"/>
      <w:marTop w:val="0"/>
      <w:marBottom w:val="0"/>
      <w:divBdr>
        <w:top w:val="none" w:sz="0" w:space="0" w:color="auto"/>
        <w:left w:val="none" w:sz="0" w:space="0" w:color="auto"/>
        <w:bottom w:val="none" w:sz="0" w:space="0" w:color="auto"/>
        <w:right w:val="none" w:sz="0" w:space="0" w:color="auto"/>
      </w:divBdr>
    </w:div>
    <w:div w:id="1371959515">
      <w:bodyDiv w:val="1"/>
      <w:marLeft w:val="0"/>
      <w:marRight w:val="0"/>
      <w:marTop w:val="0"/>
      <w:marBottom w:val="0"/>
      <w:divBdr>
        <w:top w:val="none" w:sz="0" w:space="0" w:color="auto"/>
        <w:left w:val="none" w:sz="0" w:space="0" w:color="auto"/>
        <w:bottom w:val="none" w:sz="0" w:space="0" w:color="auto"/>
        <w:right w:val="none" w:sz="0" w:space="0" w:color="auto"/>
      </w:divBdr>
    </w:div>
    <w:div w:id="1398556831">
      <w:bodyDiv w:val="1"/>
      <w:marLeft w:val="0"/>
      <w:marRight w:val="0"/>
      <w:marTop w:val="0"/>
      <w:marBottom w:val="0"/>
      <w:divBdr>
        <w:top w:val="none" w:sz="0" w:space="0" w:color="auto"/>
        <w:left w:val="none" w:sz="0" w:space="0" w:color="auto"/>
        <w:bottom w:val="none" w:sz="0" w:space="0" w:color="auto"/>
        <w:right w:val="none" w:sz="0" w:space="0" w:color="auto"/>
      </w:divBdr>
    </w:div>
    <w:div w:id="1399552800">
      <w:bodyDiv w:val="1"/>
      <w:marLeft w:val="0"/>
      <w:marRight w:val="0"/>
      <w:marTop w:val="0"/>
      <w:marBottom w:val="0"/>
      <w:divBdr>
        <w:top w:val="none" w:sz="0" w:space="0" w:color="auto"/>
        <w:left w:val="none" w:sz="0" w:space="0" w:color="auto"/>
        <w:bottom w:val="none" w:sz="0" w:space="0" w:color="auto"/>
        <w:right w:val="none" w:sz="0" w:space="0" w:color="auto"/>
      </w:divBdr>
    </w:div>
    <w:div w:id="1408727725">
      <w:bodyDiv w:val="1"/>
      <w:marLeft w:val="0"/>
      <w:marRight w:val="0"/>
      <w:marTop w:val="0"/>
      <w:marBottom w:val="0"/>
      <w:divBdr>
        <w:top w:val="none" w:sz="0" w:space="0" w:color="auto"/>
        <w:left w:val="none" w:sz="0" w:space="0" w:color="auto"/>
        <w:bottom w:val="none" w:sz="0" w:space="0" w:color="auto"/>
        <w:right w:val="none" w:sz="0" w:space="0" w:color="auto"/>
      </w:divBdr>
    </w:div>
    <w:div w:id="1409308616">
      <w:bodyDiv w:val="1"/>
      <w:marLeft w:val="0"/>
      <w:marRight w:val="0"/>
      <w:marTop w:val="0"/>
      <w:marBottom w:val="0"/>
      <w:divBdr>
        <w:top w:val="none" w:sz="0" w:space="0" w:color="auto"/>
        <w:left w:val="none" w:sz="0" w:space="0" w:color="auto"/>
        <w:bottom w:val="none" w:sz="0" w:space="0" w:color="auto"/>
        <w:right w:val="none" w:sz="0" w:space="0" w:color="auto"/>
      </w:divBdr>
    </w:div>
    <w:div w:id="1434206895">
      <w:bodyDiv w:val="1"/>
      <w:marLeft w:val="0"/>
      <w:marRight w:val="0"/>
      <w:marTop w:val="0"/>
      <w:marBottom w:val="0"/>
      <w:divBdr>
        <w:top w:val="none" w:sz="0" w:space="0" w:color="auto"/>
        <w:left w:val="none" w:sz="0" w:space="0" w:color="auto"/>
        <w:bottom w:val="none" w:sz="0" w:space="0" w:color="auto"/>
        <w:right w:val="none" w:sz="0" w:space="0" w:color="auto"/>
      </w:divBdr>
    </w:div>
    <w:div w:id="1532719781">
      <w:bodyDiv w:val="1"/>
      <w:marLeft w:val="0"/>
      <w:marRight w:val="0"/>
      <w:marTop w:val="0"/>
      <w:marBottom w:val="0"/>
      <w:divBdr>
        <w:top w:val="none" w:sz="0" w:space="0" w:color="auto"/>
        <w:left w:val="none" w:sz="0" w:space="0" w:color="auto"/>
        <w:bottom w:val="none" w:sz="0" w:space="0" w:color="auto"/>
        <w:right w:val="none" w:sz="0" w:space="0" w:color="auto"/>
      </w:divBdr>
    </w:div>
    <w:div w:id="1550531351">
      <w:bodyDiv w:val="1"/>
      <w:marLeft w:val="0"/>
      <w:marRight w:val="0"/>
      <w:marTop w:val="0"/>
      <w:marBottom w:val="0"/>
      <w:divBdr>
        <w:top w:val="none" w:sz="0" w:space="0" w:color="auto"/>
        <w:left w:val="none" w:sz="0" w:space="0" w:color="auto"/>
        <w:bottom w:val="none" w:sz="0" w:space="0" w:color="auto"/>
        <w:right w:val="none" w:sz="0" w:space="0" w:color="auto"/>
      </w:divBdr>
    </w:div>
    <w:div w:id="1586500440">
      <w:bodyDiv w:val="1"/>
      <w:marLeft w:val="0"/>
      <w:marRight w:val="0"/>
      <w:marTop w:val="0"/>
      <w:marBottom w:val="0"/>
      <w:divBdr>
        <w:top w:val="none" w:sz="0" w:space="0" w:color="auto"/>
        <w:left w:val="none" w:sz="0" w:space="0" w:color="auto"/>
        <w:bottom w:val="none" w:sz="0" w:space="0" w:color="auto"/>
        <w:right w:val="none" w:sz="0" w:space="0" w:color="auto"/>
      </w:divBdr>
    </w:div>
    <w:div w:id="1588080511">
      <w:bodyDiv w:val="1"/>
      <w:marLeft w:val="0"/>
      <w:marRight w:val="0"/>
      <w:marTop w:val="0"/>
      <w:marBottom w:val="0"/>
      <w:divBdr>
        <w:top w:val="none" w:sz="0" w:space="0" w:color="auto"/>
        <w:left w:val="none" w:sz="0" w:space="0" w:color="auto"/>
        <w:bottom w:val="none" w:sz="0" w:space="0" w:color="auto"/>
        <w:right w:val="none" w:sz="0" w:space="0" w:color="auto"/>
      </w:divBdr>
    </w:div>
    <w:div w:id="1588465380">
      <w:bodyDiv w:val="1"/>
      <w:marLeft w:val="0"/>
      <w:marRight w:val="0"/>
      <w:marTop w:val="0"/>
      <w:marBottom w:val="0"/>
      <w:divBdr>
        <w:top w:val="none" w:sz="0" w:space="0" w:color="auto"/>
        <w:left w:val="none" w:sz="0" w:space="0" w:color="auto"/>
        <w:bottom w:val="none" w:sz="0" w:space="0" w:color="auto"/>
        <w:right w:val="none" w:sz="0" w:space="0" w:color="auto"/>
      </w:divBdr>
    </w:div>
    <w:div w:id="1602254836">
      <w:bodyDiv w:val="1"/>
      <w:marLeft w:val="0"/>
      <w:marRight w:val="0"/>
      <w:marTop w:val="0"/>
      <w:marBottom w:val="0"/>
      <w:divBdr>
        <w:top w:val="none" w:sz="0" w:space="0" w:color="auto"/>
        <w:left w:val="none" w:sz="0" w:space="0" w:color="auto"/>
        <w:bottom w:val="none" w:sz="0" w:space="0" w:color="auto"/>
        <w:right w:val="none" w:sz="0" w:space="0" w:color="auto"/>
      </w:divBdr>
    </w:div>
    <w:div w:id="1628511960">
      <w:bodyDiv w:val="1"/>
      <w:marLeft w:val="0"/>
      <w:marRight w:val="0"/>
      <w:marTop w:val="0"/>
      <w:marBottom w:val="0"/>
      <w:divBdr>
        <w:top w:val="none" w:sz="0" w:space="0" w:color="auto"/>
        <w:left w:val="none" w:sz="0" w:space="0" w:color="auto"/>
        <w:bottom w:val="none" w:sz="0" w:space="0" w:color="auto"/>
        <w:right w:val="none" w:sz="0" w:space="0" w:color="auto"/>
      </w:divBdr>
    </w:div>
    <w:div w:id="1641232405">
      <w:bodyDiv w:val="1"/>
      <w:marLeft w:val="0"/>
      <w:marRight w:val="0"/>
      <w:marTop w:val="0"/>
      <w:marBottom w:val="0"/>
      <w:divBdr>
        <w:top w:val="none" w:sz="0" w:space="0" w:color="auto"/>
        <w:left w:val="none" w:sz="0" w:space="0" w:color="auto"/>
        <w:bottom w:val="none" w:sz="0" w:space="0" w:color="auto"/>
        <w:right w:val="none" w:sz="0" w:space="0" w:color="auto"/>
      </w:divBdr>
    </w:div>
    <w:div w:id="1666666153">
      <w:bodyDiv w:val="1"/>
      <w:marLeft w:val="0"/>
      <w:marRight w:val="0"/>
      <w:marTop w:val="0"/>
      <w:marBottom w:val="0"/>
      <w:divBdr>
        <w:top w:val="none" w:sz="0" w:space="0" w:color="auto"/>
        <w:left w:val="none" w:sz="0" w:space="0" w:color="auto"/>
        <w:bottom w:val="none" w:sz="0" w:space="0" w:color="auto"/>
        <w:right w:val="none" w:sz="0" w:space="0" w:color="auto"/>
      </w:divBdr>
    </w:div>
    <w:div w:id="1666979126">
      <w:bodyDiv w:val="1"/>
      <w:marLeft w:val="0"/>
      <w:marRight w:val="0"/>
      <w:marTop w:val="0"/>
      <w:marBottom w:val="0"/>
      <w:divBdr>
        <w:top w:val="none" w:sz="0" w:space="0" w:color="auto"/>
        <w:left w:val="none" w:sz="0" w:space="0" w:color="auto"/>
        <w:bottom w:val="none" w:sz="0" w:space="0" w:color="auto"/>
        <w:right w:val="none" w:sz="0" w:space="0" w:color="auto"/>
      </w:divBdr>
    </w:div>
    <w:div w:id="1676417470">
      <w:bodyDiv w:val="1"/>
      <w:marLeft w:val="0"/>
      <w:marRight w:val="0"/>
      <w:marTop w:val="0"/>
      <w:marBottom w:val="0"/>
      <w:divBdr>
        <w:top w:val="none" w:sz="0" w:space="0" w:color="auto"/>
        <w:left w:val="none" w:sz="0" w:space="0" w:color="auto"/>
        <w:bottom w:val="none" w:sz="0" w:space="0" w:color="auto"/>
        <w:right w:val="none" w:sz="0" w:space="0" w:color="auto"/>
      </w:divBdr>
    </w:div>
    <w:div w:id="1689286572">
      <w:bodyDiv w:val="1"/>
      <w:marLeft w:val="0"/>
      <w:marRight w:val="0"/>
      <w:marTop w:val="0"/>
      <w:marBottom w:val="0"/>
      <w:divBdr>
        <w:top w:val="none" w:sz="0" w:space="0" w:color="auto"/>
        <w:left w:val="none" w:sz="0" w:space="0" w:color="auto"/>
        <w:bottom w:val="none" w:sz="0" w:space="0" w:color="auto"/>
        <w:right w:val="none" w:sz="0" w:space="0" w:color="auto"/>
      </w:divBdr>
    </w:div>
    <w:div w:id="1693872957">
      <w:bodyDiv w:val="1"/>
      <w:marLeft w:val="0"/>
      <w:marRight w:val="0"/>
      <w:marTop w:val="0"/>
      <w:marBottom w:val="0"/>
      <w:divBdr>
        <w:top w:val="none" w:sz="0" w:space="0" w:color="auto"/>
        <w:left w:val="none" w:sz="0" w:space="0" w:color="auto"/>
        <w:bottom w:val="none" w:sz="0" w:space="0" w:color="auto"/>
        <w:right w:val="none" w:sz="0" w:space="0" w:color="auto"/>
      </w:divBdr>
    </w:div>
    <w:div w:id="1705712613">
      <w:bodyDiv w:val="1"/>
      <w:marLeft w:val="0"/>
      <w:marRight w:val="0"/>
      <w:marTop w:val="0"/>
      <w:marBottom w:val="0"/>
      <w:divBdr>
        <w:top w:val="none" w:sz="0" w:space="0" w:color="auto"/>
        <w:left w:val="none" w:sz="0" w:space="0" w:color="auto"/>
        <w:bottom w:val="none" w:sz="0" w:space="0" w:color="auto"/>
        <w:right w:val="none" w:sz="0" w:space="0" w:color="auto"/>
      </w:divBdr>
      <w:divsChild>
        <w:div w:id="561214638">
          <w:marLeft w:val="0"/>
          <w:marRight w:val="0"/>
          <w:marTop w:val="0"/>
          <w:marBottom w:val="0"/>
          <w:divBdr>
            <w:top w:val="none" w:sz="0" w:space="0" w:color="auto"/>
            <w:left w:val="none" w:sz="0" w:space="0" w:color="auto"/>
            <w:bottom w:val="none" w:sz="0" w:space="0" w:color="auto"/>
            <w:right w:val="none" w:sz="0" w:space="0" w:color="auto"/>
          </w:divBdr>
          <w:divsChild>
            <w:div w:id="197283386">
              <w:marLeft w:val="0"/>
              <w:marRight w:val="0"/>
              <w:marTop w:val="0"/>
              <w:marBottom w:val="0"/>
              <w:divBdr>
                <w:top w:val="none" w:sz="0" w:space="0" w:color="auto"/>
                <w:left w:val="none" w:sz="0" w:space="0" w:color="auto"/>
                <w:bottom w:val="none" w:sz="0" w:space="0" w:color="auto"/>
                <w:right w:val="none" w:sz="0" w:space="0" w:color="auto"/>
              </w:divBdr>
              <w:divsChild>
                <w:div w:id="1915628984">
                  <w:marLeft w:val="0"/>
                  <w:marRight w:val="0"/>
                  <w:marTop w:val="0"/>
                  <w:marBottom w:val="0"/>
                  <w:divBdr>
                    <w:top w:val="none" w:sz="0" w:space="0" w:color="auto"/>
                    <w:left w:val="none" w:sz="0" w:space="0" w:color="auto"/>
                    <w:bottom w:val="none" w:sz="0" w:space="0" w:color="auto"/>
                    <w:right w:val="none" w:sz="0" w:space="0" w:color="auto"/>
                  </w:divBdr>
                  <w:divsChild>
                    <w:div w:id="949313022">
                      <w:marLeft w:val="0"/>
                      <w:marRight w:val="0"/>
                      <w:marTop w:val="0"/>
                      <w:marBottom w:val="0"/>
                      <w:divBdr>
                        <w:top w:val="none" w:sz="0" w:space="0" w:color="auto"/>
                        <w:left w:val="none" w:sz="0" w:space="0" w:color="auto"/>
                        <w:bottom w:val="none" w:sz="0" w:space="0" w:color="auto"/>
                        <w:right w:val="none" w:sz="0" w:space="0" w:color="auto"/>
                      </w:divBdr>
                      <w:divsChild>
                        <w:div w:id="271323262">
                          <w:marLeft w:val="0"/>
                          <w:marRight w:val="0"/>
                          <w:marTop w:val="0"/>
                          <w:marBottom w:val="0"/>
                          <w:divBdr>
                            <w:top w:val="none" w:sz="0" w:space="0" w:color="auto"/>
                            <w:left w:val="none" w:sz="0" w:space="0" w:color="auto"/>
                            <w:bottom w:val="none" w:sz="0" w:space="0" w:color="auto"/>
                            <w:right w:val="none" w:sz="0" w:space="0" w:color="auto"/>
                          </w:divBdr>
                          <w:divsChild>
                            <w:div w:id="2129733211">
                              <w:marLeft w:val="0"/>
                              <w:marRight w:val="0"/>
                              <w:marTop w:val="0"/>
                              <w:marBottom w:val="0"/>
                              <w:divBdr>
                                <w:top w:val="none" w:sz="0" w:space="0" w:color="auto"/>
                                <w:left w:val="none" w:sz="0" w:space="0" w:color="auto"/>
                                <w:bottom w:val="none" w:sz="0" w:space="0" w:color="auto"/>
                                <w:right w:val="none" w:sz="0" w:space="0" w:color="auto"/>
                              </w:divBdr>
                              <w:divsChild>
                                <w:div w:id="1970546450">
                                  <w:marLeft w:val="0"/>
                                  <w:marRight w:val="0"/>
                                  <w:marTop w:val="0"/>
                                  <w:marBottom w:val="0"/>
                                  <w:divBdr>
                                    <w:top w:val="none" w:sz="0" w:space="0" w:color="auto"/>
                                    <w:left w:val="none" w:sz="0" w:space="0" w:color="auto"/>
                                    <w:bottom w:val="none" w:sz="0" w:space="0" w:color="auto"/>
                                    <w:right w:val="none" w:sz="0" w:space="0" w:color="auto"/>
                                  </w:divBdr>
                                  <w:divsChild>
                                    <w:div w:id="660040414">
                                      <w:marLeft w:val="0"/>
                                      <w:marRight w:val="0"/>
                                      <w:marTop w:val="0"/>
                                      <w:marBottom w:val="0"/>
                                      <w:divBdr>
                                        <w:top w:val="none" w:sz="0" w:space="0" w:color="auto"/>
                                        <w:left w:val="none" w:sz="0" w:space="0" w:color="auto"/>
                                        <w:bottom w:val="none" w:sz="0" w:space="0" w:color="auto"/>
                                        <w:right w:val="none" w:sz="0" w:space="0" w:color="auto"/>
                                      </w:divBdr>
                                      <w:divsChild>
                                        <w:div w:id="1457522362">
                                          <w:marLeft w:val="0"/>
                                          <w:marRight w:val="0"/>
                                          <w:marTop w:val="0"/>
                                          <w:marBottom w:val="0"/>
                                          <w:divBdr>
                                            <w:top w:val="none" w:sz="0" w:space="0" w:color="auto"/>
                                            <w:left w:val="none" w:sz="0" w:space="0" w:color="auto"/>
                                            <w:bottom w:val="none" w:sz="0" w:space="0" w:color="auto"/>
                                            <w:right w:val="none" w:sz="0" w:space="0" w:color="auto"/>
                                          </w:divBdr>
                                          <w:divsChild>
                                            <w:div w:id="21177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1683068">
      <w:bodyDiv w:val="1"/>
      <w:marLeft w:val="0"/>
      <w:marRight w:val="0"/>
      <w:marTop w:val="0"/>
      <w:marBottom w:val="0"/>
      <w:divBdr>
        <w:top w:val="none" w:sz="0" w:space="0" w:color="auto"/>
        <w:left w:val="none" w:sz="0" w:space="0" w:color="auto"/>
        <w:bottom w:val="none" w:sz="0" w:space="0" w:color="auto"/>
        <w:right w:val="none" w:sz="0" w:space="0" w:color="auto"/>
      </w:divBdr>
    </w:div>
    <w:div w:id="1715424259">
      <w:bodyDiv w:val="1"/>
      <w:marLeft w:val="0"/>
      <w:marRight w:val="0"/>
      <w:marTop w:val="0"/>
      <w:marBottom w:val="0"/>
      <w:divBdr>
        <w:top w:val="none" w:sz="0" w:space="0" w:color="auto"/>
        <w:left w:val="none" w:sz="0" w:space="0" w:color="auto"/>
        <w:bottom w:val="none" w:sz="0" w:space="0" w:color="auto"/>
        <w:right w:val="none" w:sz="0" w:space="0" w:color="auto"/>
      </w:divBdr>
    </w:div>
    <w:div w:id="1722561300">
      <w:bodyDiv w:val="1"/>
      <w:marLeft w:val="0"/>
      <w:marRight w:val="0"/>
      <w:marTop w:val="0"/>
      <w:marBottom w:val="0"/>
      <w:divBdr>
        <w:top w:val="none" w:sz="0" w:space="0" w:color="auto"/>
        <w:left w:val="none" w:sz="0" w:space="0" w:color="auto"/>
        <w:bottom w:val="none" w:sz="0" w:space="0" w:color="auto"/>
        <w:right w:val="none" w:sz="0" w:space="0" w:color="auto"/>
      </w:divBdr>
    </w:div>
    <w:div w:id="1731616389">
      <w:bodyDiv w:val="1"/>
      <w:marLeft w:val="0"/>
      <w:marRight w:val="0"/>
      <w:marTop w:val="0"/>
      <w:marBottom w:val="0"/>
      <w:divBdr>
        <w:top w:val="none" w:sz="0" w:space="0" w:color="auto"/>
        <w:left w:val="none" w:sz="0" w:space="0" w:color="auto"/>
        <w:bottom w:val="none" w:sz="0" w:space="0" w:color="auto"/>
        <w:right w:val="none" w:sz="0" w:space="0" w:color="auto"/>
      </w:divBdr>
    </w:div>
    <w:div w:id="1731688828">
      <w:bodyDiv w:val="1"/>
      <w:marLeft w:val="0"/>
      <w:marRight w:val="0"/>
      <w:marTop w:val="0"/>
      <w:marBottom w:val="0"/>
      <w:divBdr>
        <w:top w:val="none" w:sz="0" w:space="0" w:color="auto"/>
        <w:left w:val="none" w:sz="0" w:space="0" w:color="auto"/>
        <w:bottom w:val="none" w:sz="0" w:space="0" w:color="auto"/>
        <w:right w:val="none" w:sz="0" w:space="0" w:color="auto"/>
      </w:divBdr>
    </w:div>
    <w:div w:id="1741293051">
      <w:bodyDiv w:val="1"/>
      <w:marLeft w:val="0"/>
      <w:marRight w:val="0"/>
      <w:marTop w:val="0"/>
      <w:marBottom w:val="0"/>
      <w:divBdr>
        <w:top w:val="none" w:sz="0" w:space="0" w:color="auto"/>
        <w:left w:val="none" w:sz="0" w:space="0" w:color="auto"/>
        <w:bottom w:val="none" w:sz="0" w:space="0" w:color="auto"/>
        <w:right w:val="none" w:sz="0" w:space="0" w:color="auto"/>
      </w:divBdr>
    </w:div>
    <w:div w:id="1741712457">
      <w:bodyDiv w:val="1"/>
      <w:marLeft w:val="0"/>
      <w:marRight w:val="0"/>
      <w:marTop w:val="0"/>
      <w:marBottom w:val="0"/>
      <w:divBdr>
        <w:top w:val="none" w:sz="0" w:space="0" w:color="auto"/>
        <w:left w:val="none" w:sz="0" w:space="0" w:color="auto"/>
        <w:bottom w:val="none" w:sz="0" w:space="0" w:color="auto"/>
        <w:right w:val="none" w:sz="0" w:space="0" w:color="auto"/>
      </w:divBdr>
    </w:div>
    <w:div w:id="1753812118">
      <w:bodyDiv w:val="1"/>
      <w:marLeft w:val="0"/>
      <w:marRight w:val="0"/>
      <w:marTop w:val="0"/>
      <w:marBottom w:val="0"/>
      <w:divBdr>
        <w:top w:val="none" w:sz="0" w:space="0" w:color="auto"/>
        <w:left w:val="none" w:sz="0" w:space="0" w:color="auto"/>
        <w:bottom w:val="none" w:sz="0" w:space="0" w:color="auto"/>
        <w:right w:val="none" w:sz="0" w:space="0" w:color="auto"/>
      </w:divBdr>
    </w:div>
    <w:div w:id="1754352012">
      <w:bodyDiv w:val="1"/>
      <w:marLeft w:val="0"/>
      <w:marRight w:val="0"/>
      <w:marTop w:val="0"/>
      <w:marBottom w:val="0"/>
      <w:divBdr>
        <w:top w:val="none" w:sz="0" w:space="0" w:color="auto"/>
        <w:left w:val="none" w:sz="0" w:space="0" w:color="auto"/>
        <w:bottom w:val="none" w:sz="0" w:space="0" w:color="auto"/>
        <w:right w:val="none" w:sz="0" w:space="0" w:color="auto"/>
      </w:divBdr>
    </w:div>
    <w:div w:id="1780836937">
      <w:bodyDiv w:val="1"/>
      <w:marLeft w:val="0"/>
      <w:marRight w:val="0"/>
      <w:marTop w:val="0"/>
      <w:marBottom w:val="0"/>
      <w:divBdr>
        <w:top w:val="none" w:sz="0" w:space="0" w:color="auto"/>
        <w:left w:val="none" w:sz="0" w:space="0" w:color="auto"/>
        <w:bottom w:val="none" w:sz="0" w:space="0" w:color="auto"/>
        <w:right w:val="none" w:sz="0" w:space="0" w:color="auto"/>
      </w:divBdr>
    </w:div>
    <w:div w:id="1789275532">
      <w:bodyDiv w:val="1"/>
      <w:marLeft w:val="0"/>
      <w:marRight w:val="0"/>
      <w:marTop w:val="0"/>
      <w:marBottom w:val="0"/>
      <w:divBdr>
        <w:top w:val="none" w:sz="0" w:space="0" w:color="auto"/>
        <w:left w:val="none" w:sz="0" w:space="0" w:color="auto"/>
        <w:bottom w:val="none" w:sz="0" w:space="0" w:color="auto"/>
        <w:right w:val="none" w:sz="0" w:space="0" w:color="auto"/>
      </w:divBdr>
    </w:div>
    <w:div w:id="1801724725">
      <w:bodyDiv w:val="1"/>
      <w:marLeft w:val="0"/>
      <w:marRight w:val="0"/>
      <w:marTop w:val="0"/>
      <w:marBottom w:val="0"/>
      <w:divBdr>
        <w:top w:val="none" w:sz="0" w:space="0" w:color="auto"/>
        <w:left w:val="none" w:sz="0" w:space="0" w:color="auto"/>
        <w:bottom w:val="none" w:sz="0" w:space="0" w:color="auto"/>
        <w:right w:val="none" w:sz="0" w:space="0" w:color="auto"/>
      </w:divBdr>
    </w:div>
    <w:div w:id="1804619018">
      <w:bodyDiv w:val="1"/>
      <w:marLeft w:val="0"/>
      <w:marRight w:val="0"/>
      <w:marTop w:val="0"/>
      <w:marBottom w:val="0"/>
      <w:divBdr>
        <w:top w:val="none" w:sz="0" w:space="0" w:color="auto"/>
        <w:left w:val="none" w:sz="0" w:space="0" w:color="auto"/>
        <w:bottom w:val="none" w:sz="0" w:space="0" w:color="auto"/>
        <w:right w:val="none" w:sz="0" w:space="0" w:color="auto"/>
      </w:divBdr>
    </w:div>
    <w:div w:id="1831553523">
      <w:bodyDiv w:val="1"/>
      <w:marLeft w:val="0"/>
      <w:marRight w:val="0"/>
      <w:marTop w:val="0"/>
      <w:marBottom w:val="0"/>
      <w:divBdr>
        <w:top w:val="none" w:sz="0" w:space="0" w:color="auto"/>
        <w:left w:val="none" w:sz="0" w:space="0" w:color="auto"/>
        <w:bottom w:val="none" w:sz="0" w:space="0" w:color="auto"/>
        <w:right w:val="none" w:sz="0" w:space="0" w:color="auto"/>
      </w:divBdr>
    </w:div>
    <w:div w:id="1854420313">
      <w:bodyDiv w:val="1"/>
      <w:marLeft w:val="0"/>
      <w:marRight w:val="0"/>
      <w:marTop w:val="0"/>
      <w:marBottom w:val="0"/>
      <w:divBdr>
        <w:top w:val="none" w:sz="0" w:space="0" w:color="auto"/>
        <w:left w:val="none" w:sz="0" w:space="0" w:color="auto"/>
        <w:bottom w:val="none" w:sz="0" w:space="0" w:color="auto"/>
        <w:right w:val="none" w:sz="0" w:space="0" w:color="auto"/>
      </w:divBdr>
    </w:div>
    <w:div w:id="1860193392">
      <w:bodyDiv w:val="1"/>
      <w:marLeft w:val="0"/>
      <w:marRight w:val="0"/>
      <w:marTop w:val="0"/>
      <w:marBottom w:val="0"/>
      <w:divBdr>
        <w:top w:val="none" w:sz="0" w:space="0" w:color="auto"/>
        <w:left w:val="none" w:sz="0" w:space="0" w:color="auto"/>
        <w:bottom w:val="none" w:sz="0" w:space="0" w:color="auto"/>
        <w:right w:val="none" w:sz="0" w:space="0" w:color="auto"/>
      </w:divBdr>
    </w:div>
    <w:div w:id="1861580891">
      <w:bodyDiv w:val="1"/>
      <w:marLeft w:val="0"/>
      <w:marRight w:val="0"/>
      <w:marTop w:val="0"/>
      <w:marBottom w:val="0"/>
      <w:divBdr>
        <w:top w:val="none" w:sz="0" w:space="0" w:color="auto"/>
        <w:left w:val="none" w:sz="0" w:space="0" w:color="auto"/>
        <w:bottom w:val="none" w:sz="0" w:space="0" w:color="auto"/>
        <w:right w:val="none" w:sz="0" w:space="0" w:color="auto"/>
      </w:divBdr>
    </w:div>
    <w:div w:id="1882814407">
      <w:bodyDiv w:val="1"/>
      <w:marLeft w:val="0"/>
      <w:marRight w:val="0"/>
      <w:marTop w:val="0"/>
      <w:marBottom w:val="0"/>
      <w:divBdr>
        <w:top w:val="none" w:sz="0" w:space="0" w:color="auto"/>
        <w:left w:val="none" w:sz="0" w:space="0" w:color="auto"/>
        <w:bottom w:val="none" w:sz="0" w:space="0" w:color="auto"/>
        <w:right w:val="none" w:sz="0" w:space="0" w:color="auto"/>
      </w:divBdr>
    </w:div>
    <w:div w:id="1888182311">
      <w:bodyDiv w:val="1"/>
      <w:marLeft w:val="0"/>
      <w:marRight w:val="0"/>
      <w:marTop w:val="0"/>
      <w:marBottom w:val="0"/>
      <w:divBdr>
        <w:top w:val="none" w:sz="0" w:space="0" w:color="auto"/>
        <w:left w:val="none" w:sz="0" w:space="0" w:color="auto"/>
        <w:bottom w:val="none" w:sz="0" w:space="0" w:color="auto"/>
        <w:right w:val="none" w:sz="0" w:space="0" w:color="auto"/>
      </w:divBdr>
    </w:div>
    <w:div w:id="1900820367">
      <w:bodyDiv w:val="1"/>
      <w:marLeft w:val="0"/>
      <w:marRight w:val="0"/>
      <w:marTop w:val="0"/>
      <w:marBottom w:val="0"/>
      <w:divBdr>
        <w:top w:val="none" w:sz="0" w:space="0" w:color="auto"/>
        <w:left w:val="none" w:sz="0" w:space="0" w:color="auto"/>
        <w:bottom w:val="none" w:sz="0" w:space="0" w:color="auto"/>
        <w:right w:val="none" w:sz="0" w:space="0" w:color="auto"/>
      </w:divBdr>
    </w:div>
    <w:div w:id="1903372424">
      <w:bodyDiv w:val="1"/>
      <w:marLeft w:val="0"/>
      <w:marRight w:val="0"/>
      <w:marTop w:val="0"/>
      <w:marBottom w:val="0"/>
      <w:divBdr>
        <w:top w:val="none" w:sz="0" w:space="0" w:color="auto"/>
        <w:left w:val="none" w:sz="0" w:space="0" w:color="auto"/>
        <w:bottom w:val="none" w:sz="0" w:space="0" w:color="auto"/>
        <w:right w:val="none" w:sz="0" w:space="0" w:color="auto"/>
      </w:divBdr>
    </w:div>
    <w:div w:id="1915361110">
      <w:bodyDiv w:val="1"/>
      <w:marLeft w:val="0"/>
      <w:marRight w:val="0"/>
      <w:marTop w:val="0"/>
      <w:marBottom w:val="0"/>
      <w:divBdr>
        <w:top w:val="none" w:sz="0" w:space="0" w:color="auto"/>
        <w:left w:val="none" w:sz="0" w:space="0" w:color="auto"/>
        <w:bottom w:val="none" w:sz="0" w:space="0" w:color="auto"/>
        <w:right w:val="none" w:sz="0" w:space="0" w:color="auto"/>
      </w:divBdr>
    </w:div>
    <w:div w:id="1915969585">
      <w:bodyDiv w:val="1"/>
      <w:marLeft w:val="0"/>
      <w:marRight w:val="0"/>
      <w:marTop w:val="0"/>
      <w:marBottom w:val="0"/>
      <w:divBdr>
        <w:top w:val="none" w:sz="0" w:space="0" w:color="auto"/>
        <w:left w:val="none" w:sz="0" w:space="0" w:color="auto"/>
        <w:bottom w:val="none" w:sz="0" w:space="0" w:color="auto"/>
        <w:right w:val="none" w:sz="0" w:space="0" w:color="auto"/>
      </w:divBdr>
    </w:div>
    <w:div w:id="1923831100">
      <w:bodyDiv w:val="1"/>
      <w:marLeft w:val="0"/>
      <w:marRight w:val="0"/>
      <w:marTop w:val="0"/>
      <w:marBottom w:val="0"/>
      <w:divBdr>
        <w:top w:val="none" w:sz="0" w:space="0" w:color="auto"/>
        <w:left w:val="none" w:sz="0" w:space="0" w:color="auto"/>
        <w:bottom w:val="none" w:sz="0" w:space="0" w:color="auto"/>
        <w:right w:val="none" w:sz="0" w:space="0" w:color="auto"/>
      </w:divBdr>
    </w:div>
    <w:div w:id="1955483461">
      <w:bodyDiv w:val="1"/>
      <w:marLeft w:val="0"/>
      <w:marRight w:val="0"/>
      <w:marTop w:val="0"/>
      <w:marBottom w:val="0"/>
      <w:divBdr>
        <w:top w:val="none" w:sz="0" w:space="0" w:color="auto"/>
        <w:left w:val="none" w:sz="0" w:space="0" w:color="auto"/>
        <w:bottom w:val="none" w:sz="0" w:space="0" w:color="auto"/>
        <w:right w:val="none" w:sz="0" w:space="0" w:color="auto"/>
      </w:divBdr>
    </w:div>
    <w:div w:id="1983583243">
      <w:bodyDiv w:val="1"/>
      <w:marLeft w:val="0"/>
      <w:marRight w:val="0"/>
      <w:marTop w:val="0"/>
      <w:marBottom w:val="0"/>
      <w:divBdr>
        <w:top w:val="none" w:sz="0" w:space="0" w:color="auto"/>
        <w:left w:val="none" w:sz="0" w:space="0" w:color="auto"/>
        <w:bottom w:val="none" w:sz="0" w:space="0" w:color="auto"/>
        <w:right w:val="none" w:sz="0" w:space="0" w:color="auto"/>
      </w:divBdr>
    </w:div>
    <w:div w:id="1986348540">
      <w:bodyDiv w:val="1"/>
      <w:marLeft w:val="0"/>
      <w:marRight w:val="0"/>
      <w:marTop w:val="0"/>
      <w:marBottom w:val="0"/>
      <w:divBdr>
        <w:top w:val="none" w:sz="0" w:space="0" w:color="auto"/>
        <w:left w:val="none" w:sz="0" w:space="0" w:color="auto"/>
        <w:bottom w:val="none" w:sz="0" w:space="0" w:color="auto"/>
        <w:right w:val="none" w:sz="0" w:space="0" w:color="auto"/>
      </w:divBdr>
    </w:div>
    <w:div w:id="1990673315">
      <w:bodyDiv w:val="1"/>
      <w:marLeft w:val="0"/>
      <w:marRight w:val="0"/>
      <w:marTop w:val="0"/>
      <w:marBottom w:val="0"/>
      <w:divBdr>
        <w:top w:val="none" w:sz="0" w:space="0" w:color="auto"/>
        <w:left w:val="none" w:sz="0" w:space="0" w:color="auto"/>
        <w:bottom w:val="none" w:sz="0" w:space="0" w:color="auto"/>
        <w:right w:val="none" w:sz="0" w:space="0" w:color="auto"/>
      </w:divBdr>
    </w:div>
    <w:div w:id="2003661456">
      <w:bodyDiv w:val="1"/>
      <w:marLeft w:val="0"/>
      <w:marRight w:val="0"/>
      <w:marTop w:val="0"/>
      <w:marBottom w:val="0"/>
      <w:divBdr>
        <w:top w:val="none" w:sz="0" w:space="0" w:color="auto"/>
        <w:left w:val="none" w:sz="0" w:space="0" w:color="auto"/>
        <w:bottom w:val="none" w:sz="0" w:space="0" w:color="auto"/>
        <w:right w:val="none" w:sz="0" w:space="0" w:color="auto"/>
      </w:divBdr>
    </w:div>
    <w:div w:id="2013876703">
      <w:bodyDiv w:val="1"/>
      <w:marLeft w:val="0"/>
      <w:marRight w:val="0"/>
      <w:marTop w:val="0"/>
      <w:marBottom w:val="0"/>
      <w:divBdr>
        <w:top w:val="none" w:sz="0" w:space="0" w:color="auto"/>
        <w:left w:val="none" w:sz="0" w:space="0" w:color="auto"/>
        <w:bottom w:val="none" w:sz="0" w:space="0" w:color="auto"/>
        <w:right w:val="none" w:sz="0" w:space="0" w:color="auto"/>
      </w:divBdr>
    </w:div>
    <w:div w:id="2018118495">
      <w:bodyDiv w:val="1"/>
      <w:marLeft w:val="0"/>
      <w:marRight w:val="0"/>
      <w:marTop w:val="0"/>
      <w:marBottom w:val="0"/>
      <w:divBdr>
        <w:top w:val="none" w:sz="0" w:space="0" w:color="auto"/>
        <w:left w:val="none" w:sz="0" w:space="0" w:color="auto"/>
        <w:bottom w:val="none" w:sz="0" w:space="0" w:color="auto"/>
        <w:right w:val="none" w:sz="0" w:space="0" w:color="auto"/>
      </w:divBdr>
    </w:div>
    <w:div w:id="2023429564">
      <w:bodyDiv w:val="1"/>
      <w:marLeft w:val="0"/>
      <w:marRight w:val="0"/>
      <w:marTop w:val="0"/>
      <w:marBottom w:val="0"/>
      <w:divBdr>
        <w:top w:val="none" w:sz="0" w:space="0" w:color="auto"/>
        <w:left w:val="none" w:sz="0" w:space="0" w:color="auto"/>
        <w:bottom w:val="none" w:sz="0" w:space="0" w:color="auto"/>
        <w:right w:val="none" w:sz="0" w:space="0" w:color="auto"/>
      </w:divBdr>
    </w:div>
    <w:div w:id="2027053037">
      <w:bodyDiv w:val="1"/>
      <w:marLeft w:val="0"/>
      <w:marRight w:val="0"/>
      <w:marTop w:val="0"/>
      <w:marBottom w:val="0"/>
      <w:divBdr>
        <w:top w:val="none" w:sz="0" w:space="0" w:color="auto"/>
        <w:left w:val="none" w:sz="0" w:space="0" w:color="auto"/>
        <w:bottom w:val="none" w:sz="0" w:space="0" w:color="auto"/>
        <w:right w:val="none" w:sz="0" w:space="0" w:color="auto"/>
      </w:divBdr>
    </w:div>
    <w:div w:id="2031057791">
      <w:bodyDiv w:val="1"/>
      <w:marLeft w:val="0"/>
      <w:marRight w:val="0"/>
      <w:marTop w:val="0"/>
      <w:marBottom w:val="0"/>
      <w:divBdr>
        <w:top w:val="none" w:sz="0" w:space="0" w:color="auto"/>
        <w:left w:val="none" w:sz="0" w:space="0" w:color="auto"/>
        <w:bottom w:val="none" w:sz="0" w:space="0" w:color="auto"/>
        <w:right w:val="none" w:sz="0" w:space="0" w:color="auto"/>
      </w:divBdr>
    </w:div>
    <w:div w:id="2032023006">
      <w:bodyDiv w:val="1"/>
      <w:marLeft w:val="0"/>
      <w:marRight w:val="0"/>
      <w:marTop w:val="0"/>
      <w:marBottom w:val="0"/>
      <w:divBdr>
        <w:top w:val="none" w:sz="0" w:space="0" w:color="auto"/>
        <w:left w:val="none" w:sz="0" w:space="0" w:color="auto"/>
        <w:bottom w:val="none" w:sz="0" w:space="0" w:color="auto"/>
        <w:right w:val="none" w:sz="0" w:space="0" w:color="auto"/>
      </w:divBdr>
    </w:div>
    <w:div w:id="2041516351">
      <w:bodyDiv w:val="1"/>
      <w:marLeft w:val="0"/>
      <w:marRight w:val="0"/>
      <w:marTop w:val="0"/>
      <w:marBottom w:val="0"/>
      <w:divBdr>
        <w:top w:val="none" w:sz="0" w:space="0" w:color="auto"/>
        <w:left w:val="none" w:sz="0" w:space="0" w:color="auto"/>
        <w:bottom w:val="none" w:sz="0" w:space="0" w:color="auto"/>
        <w:right w:val="none" w:sz="0" w:space="0" w:color="auto"/>
      </w:divBdr>
    </w:div>
    <w:div w:id="2125070544">
      <w:bodyDiv w:val="1"/>
      <w:marLeft w:val="0"/>
      <w:marRight w:val="0"/>
      <w:marTop w:val="0"/>
      <w:marBottom w:val="0"/>
      <w:divBdr>
        <w:top w:val="none" w:sz="0" w:space="0" w:color="auto"/>
        <w:left w:val="none" w:sz="0" w:space="0" w:color="auto"/>
        <w:bottom w:val="none" w:sz="0" w:space="0" w:color="auto"/>
        <w:right w:val="none" w:sz="0" w:space="0" w:color="auto"/>
      </w:divBdr>
    </w:div>
    <w:div w:id="2125154810">
      <w:bodyDiv w:val="1"/>
      <w:marLeft w:val="0"/>
      <w:marRight w:val="0"/>
      <w:marTop w:val="0"/>
      <w:marBottom w:val="0"/>
      <w:divBdr>
        <w:top w:val="none" w:sz="0" w:space="0" w:color="auto"/>
        <w:left w:val="none" w:sz="0" w:space="0" w:color="auto"/>
        <w:bottom w:val="none" w:sz="0" w:space="0" w:color="auto"/>
        <w:right w:val="none" w:sz="0" w:space="0" w:color="auto"/>
      </w:divBdr>
    </w:div>
    <w:div w:id="2136095637">
      <w:bodyDiv w:val="1"/>
      <w:marLeft w:val="0"/>
      <w:marRight w:val="0"/>
      <w:marTop w:val="0"/>
      <w:marBottom w:val="0"/>
      <w:divBdr>
        <w:top w:val="none" w:sz="0" w:space="0" w:color="auto"/>
        <w:left w:val="none" w:sz="0" w:space="0" w:color="auto"/>
        <w:bottom w:val="none" w:sz="0" w:space="0" w:color="auto"/>
        <w:right w:val="none" w:sz="0" w:space="0" w:color="auto"/>
      </w:divBdr>
    </w:div>
    <w:div w:id="2139912559">
      <w:bodyDiv w:val="1"/>
      <w:marLeft w:val="0"/>
      <w:marRight w:val="0"/>
      <w:marTop w:val="0"/>
      <w:marBottom w:val="0"/>
      <w:divBdr>
        <w:top w:val="none" w:sz="0" w:space="0" w:color="auto"/>
        <w:left w:val="none" w:sz="0" w:space="0" w:color="auto"/>
        <w:bottom w:val="none" w:sz="0" w:space="0" w:color="auto"/>
        <w:right w:val="none" w:sz="0" w:space="0" w:color="auto"/>
      </w:divBdr>
    </w:div>
    <w:div w:id="2145153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footer" Target="footer19.xml"/><Relationship Id="rId21" Type="http://schemas.openxmlformats.org/officeDocument/2006/relationships/chart" Target="charts/chart3.xml"/><Relationship Id="rId42" Type="http://schemas.openxmlformats.org/officeDocument/2006/relationships/chart" Target="charts/chart18.xml"/><Relationship Id="rId63" Type="http://schemas.openxmlformats.org/officeDocument/2006/relationships/chart" Target="charts/chart33.xml"/><Relationship Id="rId84" Type="http://schemas.openxmlformats.org/officeDocument/2006/relationships/footer" Target="footer14.xml"/><Relationship Id="rId138" Type="http://schemas.openxmlformats.org/officeDocument/2006/relationships/chart" Target="charts/chart78.xml"/><Relationship Id="rId159" Type="http://schemas.openxmlformats.org/officeDocument/2006/relationships/chart" Target="charts/chart93.xml"/><Relationship Id="rId170" Type="http://schemas.openxmlformats.org/officeDocument/2006/relationships/header" Target="header30.xml"/><Relationship Id="rId191" Type="http://schemas.openxmlformats.org/officeDocument/2006/relationships/chart" Target="charts/chart113.xml"/><Relationship Id="rId205" Type="http://schemas.openxmlformats.org/officeDocument/2006/relationships/footer" Target="footer36.xml"/><Relationship Id="rId226" Type="http://schemas.openxmlformats.org/officeDocument/2006/relationships/chart" Target="charts/chart136.xml"/><Relationship Id="rId247" Type="http://schemas.openxmlformats.org/officeDocument/2006/relationships/theme" Target="theme/theme1.xml"/><Relationship Id="rId107" Type="http://schemas.openxmlformats.org/officeDocument/2006/relationships/chart" Target="charts/chart59.xml"/><Relationship Id="rId11" Type="http://schemas.openxmlformats.org/officeDocument/2006/relationships/endnotes" Target="endnotes.xml"/><Relationship Id="rId32" Type="http://schemas.openxmlformats.org/officeDocument/2006/relationships/footer" Target="footer4.xml"/><Relationship Id="rId53" Type="http://schemas.openxmlformats.org/officeDocument/2006/relationships/chart" Target="charts/chart23.xml"/><Relationship Id="rId74" Type="http://schemas.openxmlformats.org/officeDocument/2006/relationships/chart" Target="charts/chart38.xml"/><Relationship Id="rId128" Type="http://schemas.openxmlformats.org/officeDocument/2006/relationships/chart" Target="charts/chart74.xml"/><Relationship Id="rId149" Type="http://schemas.openxmlformats.org/officeDocument/2006/relationships/header" Target="header25.xml"/><Relationship Id="rId5" Type="http://schemas.openxmlformats.org/officeDocument/2006/relationships/numbering" Target="numbering.xml"/><Relationship Id="rId95" Type="http://schemas.openxmlformats.org/officeDocument/2006/relationships/chart" Target="charts/chart53.xml"/><Relationship Id="rId160" Type="http://schemas.openxmlformats.org/officeDocument/2006/relationships/chart" Target="charts/chart94.xml"/><Relationship Id="rId181" Type="http://schemas.openxmlformats.org/officeDocument/2006/relationships/chart" Target="charts/chart109.xml"/><Relationship Id="rId216" Type="http://schemas.openxmlformats.org/officeDocument/2006/relationships/chart" Target="charts/chart132.xml"/><Relationship Id="rId237" Type="http://schemas.openxmlformats.org/officeDocument/2006/relationships/footer" Target="footer41.xml"/><Relationship Id="rId22" Type="http://schemas.openxmlformats.org/officeDocument/2006/relationships/chart" Target="charts/chart4.xml"/><Relationship Id="rId43" Type="http://schemas.openxmlformats.org/officeDocument/2006/relationships/chart" Target="charts/chart19.xml"/><Relationship Id="rId64" Type="http://schemas.openxmlformats.org/officeDocument/2006/relationships/header" Target="header10.xml"/><Relationship Id="rId118" Type="http://schemas.openxmlformats.org/officeDocument/2006/relationships/footer" Target="footer20.xml"/><Relationship Id="rId139" Type="http://schemas.openxmlformats.org/officeDocument/2006/relationships/chart" Target="charts/chart79.xml"/><Relationship Id="rId85" Type="http://schemas.openxmlformats.org/officeDocument/2006/relationships/header" Target="header15.xml"/><Relationship Id="rId150" Type="http://schemas.openxmlformats.org/officeDocument/2006/relationships/header" Target="header26.xml"/><Relationship Id="rId171" Type="http://schemas.openxmlformats.org/officeDocument/2006/relationships/footer" Target="footer30.xml"/><Relationship Id="rId192" Type="http://schemas.openxmlformats.org/officeDocument/2006/relationships/chart" Target="charts/chart114.xml"/><Relationship Id="rId206" Type="http://schemas.openxmlformats.org/officeDocument/2006/relationships/chart" Target="charts/chart122.xml"/><Relationship Id="rId227" Type="http://schemas.openxmlformats.org/officeDocument/2006/relationships/chart" Target="charts/chart137.xml"/><Relationship Id="rId12" Type="http://schemas.openxmlformats.org/officeDocument/2006/relationships/image" Target="media/image1.emf"/><Relationship Id="rId17" Type="http://schemas.openxmlformats.org/officeDocument/2006/relationships/header" Target="header3.xml"/><Relationship Id="rId33" Type="http://schemas.openxmlformats.org/officeDocument/2006/relationships/footer" Target="footer5.xml"/><Relationship Id="rId38" Type="http://schemas.openxmlformats.org/officeDocument/2006/relationships/chart" Target="charts/chart14.xml"/><Relationship Id="rId59" Type="http://schemas.openxmlformats.org/officeDocument/2006/relationships/chart" Target="charts/chart29.xml"/><Relationship Id="rId103" Type="http://schemas.openxmlformats.org/officeDocument/2006/relationships/footer" Target="footer18.xml"/><Relationship Id="rId108" Type="http://schemas.openxmlformats.org/officeDocument/2006/relationships/chart" Target="charts/chart60.xml"/><Relationship Id="rId124" Type="http://schemas.openxmlformats.org/officeDocument/2006/relationships/chart" Target="charts/chart70.xml"/><Relationship Id="rId129" Type="http://schemas.openxmlformats.org/officeDocument/2006/relationships/chart" Target="charts/chart75.xml"/><Relationship Id="rId54" Type="http://schemas.openxmlformats.org/officeDocument/2006/relationships/chart" Target="charts/chart24.xml"/><Relationship Id="rId70" Type="http://schemas.openxmlformats.org/officeDocument/2006/relationships/chart" Target="charts/chart34.xml"/><Relationship Id="rId75" Type="http://schemas.openxmlformats.org/officeDocument/2006/relationships/chart" Target="charts/chart39.xml"/><Relationship Id="rId91" Type="http://schemas.openxmlformats.org/officeDocument/2006/relationships/chart" Target="charts/chart49.xml"/><Relationship Id="rId96" Type="http://schemas.openxmlformats.org/officeDocument/2006/relationships/chart" Target="charts/chart54.xml"/><Relationship Id="rId140" Type="http://schemas.openxmlformats.org/officeDocument/2006/relationships/chart" Target="charts/chart80.xml"/><Relationship Id="rId145" Type="http://schemas.openxmlformats.org/officeDocument/2006/relationships/chart" Target="charts/chart85.xml"/><Relationship Id="rId161" Type="http://schemas.openxmlformats.org/officeDocument/2006/relationships/chart" Target="charts/chart95.xml"/><Relationship Id="rId166" Type="http://schemas.openxmlformats.org/officeDocument/2006/relationships/header" Target="header28.xml"/><Relationship Id="rId182" Type="http://schemas.openxmlformats.org/officeDocument/2006/relationships/chart" Target="charts/chart110.xml"/><Relationship Id="rId187" Type="http://schemas.openxmlformats.org/officeDocument/2006/relationships/header" Target="header33.xml"/><Relationship Id="rId217" Type="http://schemas.openxmlformats.org/officeDocument/2006/relationships/header" Target="header37.xm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chart" Target="charts/chart128.xml"/><Relationship Id="rId233" Type="http://schemas.openxmlformats.org/officeDocument/2006/relationships/chart" Target="charts/chart143.xml"/><Relationship Id="rId238" Type="http://schemas.openxmlformats.org/officeDocument/2006/relationships/header" Target="header42.xml"/><Relationship Id="rId23" Type="http://schemas.openxmlformats.org/officeDocument/2006/relationships/chart" Target="charts/chart5.xml"/><Relationship Id="rId28" Type="http://schemas.openxmlformats.org/officeDocument/2006/relationships/chart" Target="charts/chart10.xml"/><Relationship Id="rId49" Type="http://schemas.openxmlformats.org/officeDocument/2006/relationships/footer" Target="footer7.xml"/><Relationship Id="rId114" Type="http://schemas.openxmlformats.org/officeDocument/2006/relationships/chart" Target="charts/chart66.xml"/><Relationship Id="rId119" Type="http://schemas.openxmlformats.org/officeDocument/2006/relationships/header" Target="header21.xml"/><Relationship Id="rId44" Type="http://schemas.openxmlformats.org/officeDocument/2006/relationships/chart" Target="charts/chart20.xml"/><Relationship Id="rId60" Type="http://schemas.openxmlformats.org/officeDocument/2006/relationships/chart" Target="charts/chart30.xml"/><Relationship Id="rId65" Type="http://schemas.openxmlformats.org/officeDocument/2006/relationships/header" Target="header11.xml"/><Relationship Id="rId81" Type="http://schemas.openxmlformats.org/officeDocument/2006/relationships/header" Target="header13.xml"/><Relationship Id="rId86" Type="http://schemas.openxmlformats.org/officeDocument/2006/relationships/footer" Target="footer15.xml"/><Relationship Id="rId130" Type="http://schemas.openxmlformats.org/officeDocument/2006/relationships/chart" Target="charts/chart76.xml"/><Relationship Id="rId135" Type="http://schemas.openxmlformats.org/officeDocument/2006/relationships/footer" Target="footer23.xml"/><Relationship Id="rId151" Type="http://schemas.openxmlformats.org/officeDocument/2006/relationships/footer" Target="footer25.xml"/><Relationship Id="rId156" Type="http://schemas.openxmlformats.org/officeDocument/2006/relationships/chart" Target="charts/chart90.xml"/><Relationship Id="rId177" Type="http://schemas.openxmlformats.org/officeDocument/2006/relationships/chart" Target="charts/chart105.xml"/><Relationship Id="rId198" Type="http://schemas.openxmlformats.org/officeDocument/2006/relationships/chart" Target="charts/chart120.xml"/><Relationship Id="rId172" Type="http://schemas.openxmlformats.org/officeDocument/2006/relationships/chart" Target="charts/chart100.xml"/><Relationship Id="rId193" Type="http://schemas.openxmlformats.org/officeDocument/2006/relationships/chart" Target="charts/chart115.xml"/><Relationship Id="rId202" Type="http://schemas.openxmlformats.org/officeDocument/2006/relationships/footer" Target="footer34.xml"/><Relationship Id="rId207" Type="http://schemas.openxmlformats.org/officeDocument/2006/relationships/chart" Target="charts/chart123.xml"/><Relationship Id="rId223" Type="http://schemas.openxmlformats.org/officeDocument/2006/relationships/chart" Target="charts/chart133.xml"/><Relationship Id="rId228" Type="http://schemas.openxmlformats.org/officeDocument/2006/relationships/chart" Target="charts/chart138.xml"/><Relationship Id="rId244" Type="http://schemas.openxmlformats.org/officeDocument/2006/relationships/header" Target="header45.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chart" Target="charts/chart15.xml"/><Relationship Id="rId109" Type="http://schemas.openxmlformats.org/officeDocument/2006/relationships/chart" Target="charts/chart61.xml"/><Relationship Id="rId34" Type="http://schemas.openxmlformats.org/officeDocument/2006/relationships/header" Target="header6.xml"/><Relationship Id="rId50" Type="http://schemas.openxmlformats.org/officeDocument/2006/relationships/footer" Target="footer8.xml"/><Relationship Id="rId55" Type="http://schemas.openxmlformats.org/officeDocument/2006/relationships/chart" Target="charts/chart25.xml"/><Relationship Id="rId76" Type="http://schemas.openxmlformats.org/officeDocument/2006/relationships/chart" Target="charts/chart40.xml"/><Relationship Id="rId97" Type="http://schemas.openxmlformats.org/officeDocument/2006/relationships/chart" Target="charts/chart55.xml"/><Relationship Id="rId104" Type="http://schemas.openxmlformats.org/officeDocument/2006/relationships/chart" Target="charts/chart56.xml"/><Relationship Id="rId120" Type="http://schemas.openxmlformats.org/officeDocument/2006/relationships/footer" Target="footer21.xml"/><Relationship Id="rId125" Type="http://schemas.openxmlformats.org/officeDocument/2006/relationships/chart" Target="charts/chart71.xml"/><Relationship Id="rId141" Type="http://schemas.openxmlformats.org/officeDocument/2006/relationships/chart" Target="charts/chart81.xml"/><Relationship Id="rId146" Type="http://schemas.openxmlformats.org/officeDocument/2006/relationships/chart" Target="charts/chart86.xml"/><Relationship Id="rId167" Type="http://schemas.openxmlformats.org/officeDocument/2006/relationships/header" Target="header29.xml"/><Relationship Id="rId188" Type="http://schemas.openxmlformats.org/officeDocument/2006/relationships/footer" Target="footer33.xml"/><Relationship Id="rId7" Type="http://schemas.microsoft.com/office/2007/relationships/stylesWithEffects" Target="stylesWithEffects.xml"/><Relationship Id="rId71" Type="http://schemas.openxmlformats.org/officeDocument/2006/relationships/chart" Target="charts/chart35.xml"/><Relationship Id="rId92" Type="http://schemas.openxmlformats.org/officeDocument/2006/relationships/chart" Target="charts/chart50.xml"/><Relationship Id="rId162" Type="http://schemas.openxmlformats.org/officeDocument/2006/relationships/chart" Target="charts/chart96.xml"/><Relationship Id="rId183" Type="http://schemas.openxmlformats.org/officeDocument/2006/relationships/header" Target="header31.xml"/><Relationship Id="rId213" Type="http://schemas.openxmlformats.org/officeDocument/2006/relationships/chart" Target="charts/chart129.xml"/><Relationship Id="rId218" Type="http://schemas.openxmlformats.org/officeDocument/2006/relationships/header" Target="header38.xml"/><Relationship Id="rId234" Type="http://schemas.openxmlformats.org/officeDocument/2006/relationships/header" Target="header40.xml"/><Relationship Id="rId239" Type="http://schemas.openxmlformats.org/officeDocument/2006/relationships/footer" Target="footer42.xml"/><Relationship Id="rId2" Type="http://schemas.openxmlformats.org/officeDocument/2006/relationships/customXml" Target="../customXml/item2.xml"/><Relationship Id="rId29" Type="http://schemas.openxmlformats.org/officeDocument/2006/relationships/chart" Target="charts/chart11.xml"/><Relationship Id="rId24" Type="http://schemas.openxmlformats.org/officeDocument/2006/relationships/chart" Target="charts/chart6.xml"/><Relationship Id="rId40" Type="http://schemas.openxmlformats.org/officeDocument/2006/relationships/chart" Target="charts/chart16.xml"/><Relationship Id="rId45" Type="http://schemas.openxmlformats.org/officeDocument/2006/relationships/chart" Target="charts/chart21.xml"/><Relationship Id="rId66" Type="http://schemas.openxmlformats.org/officeDocument/2006/relationships/footer" Target="footer10.xml"/><Relationship Id="rId87" Type="http://schemas.openxmlformats.org/officeDocument/2006/relationships/chart" Target="charts/chart45.xml"/><Relationship Id="rId110" Type="http://schemas.openxmlformats.org/officeDocument/2006/relationships/chart" Target="charts/chart62.xml"/><Relationship Id="rId115" Type="http://schemas.openxmlformats.org/officeDocument/2006/relationships/header" Target="header19.xml"/><Relationship Id="rId131" Type="http://schemas.openxmlformats.org/officeDocument/2006/relationships/chart" Target="charts/chart77.xml"/><Relationship Id="rId136" Type="http://schemas.openxmlformats.org/officeDocument/2006/relationships/header" Target="header24.xml"/><Relationship Id="rId157" Type="http://schemas.openxmlformats.org/officeDocument/2006/relationships/chart" Target="charts/chart91.xml"/><Relationship Id="rId178" Type="http://schemas.openxmlformats.org/officeDocument/2006/relationships/chart" Target="charts/chart106.xml"/><Relationship Id="rId61" Type="http://schemas.openxmlformats.org/officeDocument/2006/relationships/chart" Target="charts/chart31.xml"/><Relationship Id="rId82" Type="http://schemas.openxmlformats.org/officeDocument/2006/relationships/header" Target="header14.xml"/><Relationship Id="rId152" Type="http://schemas.openxmlformats.org/officeDocument/2006/relationships/footer" Target="footer26.xml"/><Relationship Id="rId173" Type="http://schemas.openxmlformats.org/officeDocument/2006/relationships/chart" Target="charts/chart101.xml"/><Relationship Id="rId194" Type="http://schemas.openxmlformats.org/officeDocument/2006/relationships/chart" Target="charts/chart116.xml"/><Relationship Id="rId199" Type="http://schemas.openxmlformats.org/officeDocument/2006/relationships/chart" Target="charts/chart121.xml"/><Relationship Id="rId203" Type="http://schemas.openxmlformats.org/officeDocument/2006/relationships/footer" Target="footer35.xml"/><Relationship Id="rId208" Type="http://schemas.openxmlformats.org/officeDocument/2006/relationships/chart" Target="charts/chart124.xml"/><Relationship Id="rId229" Type="http://schemas.openxmlformats.org/officeDocument/2006/relationships/chart" Target="charts/chart139.xml"/><Relationship Id="rId19" Type="http://schemas.openxmlformats.org/officeDocument/2006/relationships/chart" Target="charts/chart1.xml"/><Relationship Id="rId224" Type="http://schemas.openxmlformats.org/officeDocument/2006/relationships/chart" Target="charts/chart134.xml"/><Relationship Id="rId240" Type="http://schemas.openxmlformats.org/officeDocument/2006/relationships/header" Target="header43.xml"/><Relationship Id="rId245" Type="http://schemas.openxmlformats.org/officeDocument/2006/relationships/footer" Target="footer45.xml"/><Relationship Id="rId14" Type="http://schemas.openxmlformats.org/officeDocument/2006/relationships/header" Target="header2.xml"/><Relationship Id="rId30" Type="http://schemas.openxmlformats.org/officeDocument/2006/relationships/header" Target="header4.xml"/><Relationship Id="rId35" Type="http://schemas.openxmlformats.org/officeDocument/2006/relationships/footer" Target="footer6.xml"/><Relationship Id="rId56" Type="http://schemas.openxmlformats.org/officeDocument/2006/relationships/chart" Target="charts/chart26.xml"/><Relationship Id="rId77" Type="http://schemas.openxmlformats.org/officeDocument/2006/relationships/chart" Target="charts/chart41.xml"/><Relationship Id="rId100" Type="http://schemas.openxmlformats.org/officeDocument/2006/relationships/footer" Target="footer16.xml"/><Relationship Id="rId105" Type="http://schemas.openxmlformats.org/officeDocument/2006/relationships/chart" Target="charts/chart57.xml"/><Relationship Id="rId126" Type="http://schemas.openxmlformats.org/officeDocument/2006/relationships/chart" Target="charts/chart72.xml"/><Relationship Id="rId147" Type="http://schemas.openxmlformats.org/officeDocument/2006/relationships/chart" Target="charts/chart87.xml"/><Relationship Id="rId168" Type="http://schemas.openxmlformats.org/officeDocument/2006/relationships/footer" Target="footer28.xml"/><Relationship Id="rId8" Type="http://schemas.openxmlformats.org/officeDocument/2006/relationships/settings" Target="settings.xml"/><Relationship Id="rId51" Type="http://schemas.openxmlformats.org/officeDocument/2006/relationships/header" Target="header9.xml"/><Relationship Id="rId72" Type="http://schemas.openxmlformats.org/officeDocument/2006/relationships/chart" Target="charts/chart36.xml"/><Relationship Id="rId93" Type="http://schemas.openxmlformats.org/officeDocument/2006/relationships/chart" Target="charts/chart51.xml"/><Relationship Id="rId98" Type="http://schemas.openxmlformats.org/officeDocument/2006/relationships/header" Target="header16.xml"/><Relationship Id="rId121" Type="http://schemas.openxmlformats.org/officeDocument/2006/relationships/chart" Target="charts/chart67.xml"/><Relationship Id="rId142" Type="http://schemas.openxmlformats.org/officeDocument/2006/relationships/chart" Target="charts/chart82.xml"/><Relationship Id="rId163" Type="http://schemas.openxmlformats.org/officeDocument/2006/relationships/chart" Target="charts/chart97.xml"/><Relationship Id="rId184" Type="http://schemas.openxmlformats.org/officeDocument/2006/relationships/header" Target="header32.xml"/><Relationship Id="rId189" Type="http://schemas.openxmlformats.org/officeDocument/2006/relationships/chart" Target="charts/chart111.xml"/><Relationship Id="rId219" Type="http://schemas.openxmlformats.org/officeDocument/2006/relationships/footer" Target="footer37.xml"/><Relationship Id="rId3" Type="http://schemas.openxmlformats.org/officeDocument/2006/relationships/customXml" Target="../customXml/item3.xml"/><Relationship Id="rId214" Type="http://schemas.openxmlformats.org/officeDocument/2006/relationships/chart" Target="charts/chart130.xml"/><Relationship Id="rId230" Type="http://schemas.openxmlformats.org/officeDocument/2006/relationships/chart" Target="charts/chart140.xml"/><Relationship Id="rId235" Type="http://schemas.openxmlformats.org/officeDocument/2006/relationships/header" Target="header41.xml"/><Relationship Id="rId25" Type="http://schemas.openxmlformats.org/officeDocument/2006/relationships/chart" Target="charts/chart7.xml"/><Relationship Id="rId46" Type="http://schemas.openxmlformats.org/officeDocument/2006/relationships/chart" Target="charts/chart22.xml"/><Relationship Id="rId67" Type="http://schemas.openxmlformats.org/officeDocument/2006/relationships/footer" Target="footer11.xml"/><Relationship Id="rId116" Type="http://schemas.openxmlformats.org/officeDocument/2006/relationships/header" Target="header20.xml"/><Relationship Id="rId137" Type="http://schemas.openxmlformats.org/officeDocument/2006/relationships/footer" Target="footer24.xml"/><Relationship Id="rId158" Type="http://schemas.openxmlformats.org/officeDocument/2006/relationships/chart" Target="charts/chart92.xml"/><Relationship Id="rId20" Type="http://schemas.openxmlformats.org/officeDocument/2006/relationships/chart" Target="charts/chart2.xml"/><Relationship Id="rId41" Type="http://schemas.openxmlformats.org/officeDocument/2006/relationships/chart" Target="charts/chart17.xml"/><Relationship Id="rId62" Type="http://schemas.openxmlformats.org/officeDocument/2006/relationships/chart" Target="charts/chart32.xml"/><Relationship Id="rId83" Type="http://schemas.openxmlformats.org/officeDocument/2006/relationships/footer" Target="footer13.xml"/><Relationship Id="rId88" Type="http://schemas.openxmlformats.org/officeDocument/2006/relationships/chart" Target="charts/chart46.xml"/><Relationship Id="rId111" Type="http://schemas.openxmlformats.org/officeDocument/2006/relationships/chart" Target="charts/chart63.xml"/><Relationship Id="rId132" Type="http://schemas.openxmlformats.org/officeDocument/2006/relationships/header" Target="header22.xml"/><Relationship Id="rId153" Type="http://schemas.openxmlformats.org/officeDocument/2006/relationships/header" Target="header27.xml"/><Relationship Id="rId174" Type="http://schemas.openxmlformats.org/officeDocument/2006/relationships/chart" Target="charts/chart102.xml"/><Relationship Id="rId179" Type="http://schemas.openxmlformats.org/officeDocument/2006/relationships/chart" Target="charts/chart107.xml"/><Relationship Id="rId195" Type="http://schemas.openxmlformats.org/officeDocument/2006/relationships/chart" Target="charts/chart117.xml"/><Relationship Id="rId209" Type="http://schemas.openxmlformats.org/officeDocument/2006/relationships/chart" Target="charts/chart125.xml"/><Relationship Id="rId190" Type="http://schemas.openxmlformats.org/officeDocument/2006/relationships/chart" Target="charts/chart112.xml"/><Relationship Id="rId204" Type="http://schemas.openxmlformats.org/officeDocument/2006/relationships/header" Target="header36.xml"/><Relationship Id="rId220" Type="http://schemas.openxmlformats.org/officeDocument/2006/relationships/footer" Target="footer38.xml"/><Relationship Id="rId225" Type="http://schemas.openxmlformats.org/officeDocument/2006/relationships/chart" Target="charts/chart135.xml"/><Relationship Id="rId241" Type="http://schemas.openxmlformats.org/officeDocument/2006/relationships/header" Target="header44.xml"/><Relationship Id="rId246" Type="http://schemas.openxmlformats.org/officeDocument/2006/relationships/fontTable" Target="fontTable.xml"/><Relationship Id="rId15" Type="http://schemas.openxmlformats.org/officeDocument/2006/relationships/footer" Target="footer1.xml"/><Relationship Id="rId36" Type="http://schemas.openxmlformats.org/officeDocument/2006/relationships/chart" Target="charts/chart12.xml"/><Relationship Id="rId57" Type="http://schemas.openxmlformats.org/officeDocument/2006/relationships/chart" Target="charts/chart27.xml"/><Relationship Id="rId106" Type="http://schemas.openxmlformats.org/officeDocument/2006/relationships/chart" Target="charts/chart58.xml"/><Relationship Id="rId127" Type="http://schemas.openxmlformats.org/officeDocument/2006/relationships/chart" Target="charts/chart73.xml"/><Relationship Id="rId10" Type="http://schemas.openxmlformats.org/officeDocument/2006/relationships/footnotes" Target="footnotes.xml"/><Relationship Id="rId31" Type="http://schemas.openxmlformats.org/officeDocument/2006/relationships/header" Target="header5.xml"/><Relationship Id="rId52" Type="http://schemas.openxmlformats.org/officeDocument/2006/relationships/footer" Target="footer9.xml"/><Relationship Id="rId73" Type="http://schemas.openxmlformats.org/officeDocument/2006/relationships/chart" Target="charts/chart37.xml"/><Relationship Id="rId78" Type="http://schemas.openxmlformats.org/officeDocument/2006/relationships/chart" Target="charts/chart42.xml"/><Relationship Id="rId94" Type="http://schemas.openxmlformats.org/officeDocument/2006/relationships/chart" Target="charts/chart52.xml"/><Relationship Id="rId99" Type="http://schemas.openxmlformats.org/officeDocument/2006/relationships/header" Target="header17.xml"/><Relationship Id="rId101" Type="http://schemas.openxmlformats.org/officeDocument/2006/relationships/footer" Target="footer17.xml"/><Relationship Id="rId122" Type="http://schemas.openxmlformats.org/officeDocument/2006/relationships/chart" Target="charts/chart68.xml"/><Relationship Id="rId143" Type="http://schemas.openxmlformats.org/officeDocument/2006/relationships/chart" Target="charts/chart83.xml"/><Relationship Id="rId148" Type="http://schemas.openxmlformats.org/officeDocument/2006/relationships/chart" Target="charts/chart88.xml"/><Relationship Id="rId164" Type="http://schemas.openxmlformats.org/officeDocument/2006/relationships/chart" Target="charts/chart98.xml"/><Relationship Id="rId169" Type="http://schemas.openxmlformats.org/officeDocument/2006/relationships/footer" Target="footer29.xml"/><Relationship Id="rId185" Type="http://schemas.openxmlformats.org/officeDocument/2006/relationships/footer" Target="footer31.xm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chart" Target="charts/chart108.xml"/><Relationship Id="rId210" Type="http://schemas.openxmlformats.org/officeDocument/2006/relationships/chart" Target="charts/chart126.xml"/><Relationship Id="rId215" Type="http://schemas.openxmlformats.org/officeDocument/2006/relationships/chart" Target="charts/chart131.xml"/><Relationship Id="rId236" Type="http://schemas.openxmlformats.org/officeDocument/2006/relationships/footer" Target="footer40.xml"/><Relationship Id="rId26" Type="http://schemas.openxmlformats.org/officeDocument/2006/relationships/chart" Target="charts/chart8.xml"/><Relationship Id="rId231" Type="http://schemas.openxmlformats.org/officeDocument/2006/relationships/chart" Target="charts/chart141.xml"/><Relationship Id="rId47" Type="http://schemas.openxmlformats.org/officeDocument/2006/relationships/header" Target="header7.xml"/><Relationship Id="rId68" Type="http://schemas.openxmlformats.org/officeDocument/2006/relationships/header" Target="header12.xml"/><Relationship Id="rId89" Type="http://schemas.openxmlformats.org/officeDocument/2006/relationships/chart" Target="charts/chart47.xml"/><Relationship Id="rId112" Type="http://schemas.openxmlformats.org/officeDocument/2006/relationships/chart" Target="charts/chart64.xml"/><Relationship Id="rId133" Type="http://schemas.openxmlformats.org/officeDocument/2006/relationships/header" Target="header23.xml"/><Relationship Id="rId154" Type="http://schemas.openxmlformats.org/officeDocument/2006/relationships/footer" Target="footer27.xml"/><Relationship Id="rId175" Type="http://schemas.openxmlformats.org/officeDocument/2006/relationships/chart" Target="charts/chart103.xml"/><Relationship Id="rId196" Type="http://schemas.openxmlformats.org/officeDocument/2006/relationships/chart" Target="charts/chart118.xml"/><Relationship Id="rId200" Type="http://schemas.openxmlformats.org/officeDocument/2006/relationships/header" Target="header34.xml"/><Relationship Id="rId16" Type="http://schemas.openxmlformats.org/officeDocument/2006/relationships/footer" Target="footer2.xml"/><Relationship Id="rId221" Type="http://schemas.openxmlformats.org/officeDocument/2006/relationships/header" Target="header39.xml"/><Relationship Id="rId242" Type="http://schemas.openxmlformats.org/officeDocument/2006/relationships/footer" Target="footer43.xml"/><Relationship Id="rId37" Type="http://schemas.openxmlformats.org/officeDocument/2006/relationships/chart" Target="charts/chart13.xml"/><Relationship Id="rId58" Type="http://schemas.openxmlformats.org/officeDocument/2006/relationships/chart" Target="charts/chart28.xml"/><Relationship Id="rId79" Type="http://schemas.openxmlformats.org/officeDocument/2006/relationships/chart" Target="charts/chart43.xml"/><Relationship Id="rId102" Type="http://schemas.openxmlformats.org/officeDocument/2006/relationships/header" Target="header18.xml"/><Relationship Id="rId123" Type="http://schemas.openxmlformats.org/officeDocument/2006/relationships/chart" Target="charts/chart69.xml"/><Relationship Id="rId144" Type="http://schemas.openxmlformats.org/officeDocument/2006/relationships/chart" Target="charts/chart84.xml"/><Relationship Id="rId90" Type="http://schemas.openxmlformats.org/officeDocument/2006/relationships/chart" Target="charts/chart48.xml"/><Relationship Id="rId165" Type="http://schemas.openxmlformats.org/officeDocument/2006/relationships/chart" Target="charts/chart99.xml"/><Relationship Id="rId186" Type="http://schemas.openxmlformats.org/officeDocument/2006/relationships/footer" Target="footer32.xml"/><Relationship Id="rId211" Type="http://schemas.openxmlformats.org/officeDocument/2006/relationships/chart" Target="charts/chart127.xml"/><Relationship Id="rId232" Type="http://schemas.openxmlformats.org/officeDocument/2006/relationships/chart" Target="charts/chart142.xml"/><Relationship Id="rId27" Type="http://schemas.openxmlformats.org/officeDocument/2006/relationships/chart" Target="charts/chart9.xml"/><Relationship Id="rId48" Type="http://schemas.openxmlformats.org/officeDocument/2006/relationships/header" Target="header8.xml"/><Relationship Id="rId69" Type="http://schemas.openxmlformats.org/officeDocument/2006/relationships/footer" Target="footer12.xml"/><Relationship Id="rId113" Type="http://schemas.openxmlformats.org/officeDocument/2006/relationships/chart" Target="charts/chart65.xml"/><Relationship Id="rId134" Type="http://schemas.openxmlformats.org/officeDocument/2006/relationships/footer" Target="footer22.xml"/><Relationship Id="rId80" Type="http://schemas.openxmlformats.org/officeDocument/2006/relationships/chart" Target="charts/chart44.xml"/><Relationship Id="rId155" Type="http://schemas.openxmlformats.org/officeDocument/2006/relationships/chart" Target="charts/chart89.xml"/><Relationship Id="rId176" Type="http://schemas.openxmlformats.org/officeDocument/2006/relationships/chart" Target="charts/chart104.xml"/><Relationship Id="rId197" Type="http://schemas.openxmlformats.org/officeDocument/2006/relationships/chart" Target="charts/chart119.xml"/><Relationship Id="rId201" Type="http://schemas.openxmlformats.org/officeDocument/2006/relationships/header" Target="header35.xml"/><Relationship Id="rId222" Type="http://schemas.openxmlformats.org/officeDocument/2006/relationships/footer" Target="footer39.xml"/><Relationship Id="rId243" Type="http://schemas.openxmlformats.org/officeDocument/2006/relationships/footer" Target="footer44.xml"/></Relationships>
</file>

<file path=word/_rels/footnotes.xml.rels><?xml version="1.0" encoding="UTF-8" standalone="yes"?>
<Relationships xmlns="http://schemas.openxmlformats.org/package/2006/relationships"><Relationship Id="rId117" Type="http://schemas.openxmlformats.org/officeDocument/2006/relationships/hyperlink" Target="http://curia.europa.eu/juris/liste.jsf?language=en&amp;jur=C,T,F&amp;num=T-119/10&amp;td=ALL" TargetMode="External"/><Relationship Id="rId299" Type="http://schemas.openxmlformats.org/officeDocument/2006/relationships/hyperlink" Target="https://eur-lex.europa.eu/legal-content/EN/TXT/?qid=1521717466496&amp;uri=CELEX:31999L0031" TargetMode="External"/><Relationship Id="rId21" Type="http://schemas.openxmlformats.org/officeDocument/2006/relationships/hyperlink" Target="http://curia.europa.eu/juris/liste.jsf?language=en&amp;jur=C,T,F&amp;num=274/15&amp;td=ALL" TargetMode="External"/><Relationship Id="rId63" Type="http://schemas.openxmlformats.org/officeDocument/2006/relationships/hyperlink" Target="http://curia.europa.eu/juris/liste.jsf?language=en&amp;jur=C,T,F&amp;num=647/15&amp;td=ALL" TargetMode="External"/><Relationship Id="rId159" Type="http://schemas.openxmlformats.org/officeDocument/2006/relationships/hyperlink" Target="http://eur-lex.europa.eu/legal-content/EN/TXT/?qid=1521535748978&amp;uri=CELEX:32002L0021" TargetMode="External"/><Relationship Id="rId324" Type="http://schemas.openxmlformats.org/officeDocument/2006/relationships/hyperlink" Target="https://eur-lex.europa.eu/legal-content/EN/TXT/?qid=1521717677904&amp;uri=CELEX:32007L0060" TargetMode="External"/><Relationship Id="rId366" Type="http://schemas.openxmlformats.org/officeDocument/2006/relationships/hyperlink" Target="https://eur-lex.europa.eu/legal-content/EN/TXT/?qid=1521726742344&amp;uri=CELEX:32002L0049" TargetMode="External"/><Relationship Id="rId170" Type="http://schemas.openxmlformats.org/officeDocument/2006/relationships/hyperlink" Target="https://eur-lex.europa.eu/legal-content/EN/TXT/?qid=1521804065893&amp;uri=CELEX:32015L0849" TargetMode="External"/><Relationship Id="rId226" Type="http://schemas.openxmlformats.org/officeDocument/2006/relationships/hyperlink" Target="http://europa.eu/rapid/press-release_MEMO-17-1281_en.htm" TargetMode="External"/><Relationship Id="rId433" Type="http://schemas.openxmlformats.org/officeDocument/2006/relationships/hyperlink" Target="https://eur-lex.europa.eu/legal-content/EN/TXT/?qid=1521713630037&amp;uri=CELEX:32015L0719" TargetMode="External"/><Relationship Id="rId268" Type="http://schemas.openxmlformats.org/officeDocument/2006/relationships/hyperlink" Target="http://eur-lex.europa.eu/legal-content/EN/TXT/?qid=1521537233088&amp;uri=CELEX:32014L0026" TargetMode="External"/><Relationship Id="rId475" Type="http://schemas.openxmlformats.org/officeDocument/2006/relationships/hyperlink" Target="http://eur-lex.europa.eu/legal-content/EN/TXT/?qid=1521638895462&amp;uri=CELEX:32003L0088" TargetMode="External"/><Relationship Id="rId32" Type="http://schemas.openxmlformats.org/officeDocument/2006/relationships/hyperlink" Target="https://eur-lex.europa.eu/legal-content/EN/TXT/?qid=1521646324831&amp;uri=CELEX:32009L0072" TargetMode="External"/><Relationship Id="rId74" Type="http://schemas.openxmlformats.org/officeDocument/2006/relationships/hyperlink" Target="http://eur-lex.europa.eu/legal-content/AUTO/?uri=CELEX:32013L0055&amp;qid=1522067720632&amp;rid=1" TargetMode="External"/><Relationship Id="rId128" Type="http://schemas.openxmlformats.org/officeDocument/2006/relationships/hyperlink" Target="http://eur-lex.europa.eu/legal-content/EN/TXT/?qid=1521639170607&amp;uri=CELEX:32001L0023" TargetMode="External"/><Relationship Id="rId335" Type="http://schemas.openxmlformats.org/officeDocument/2006/relationships/hyperlink" Target="http://europa.eu/rapid/press-release_IP-17-1048_en.htm" TargetMode="External"/><Relationship Id="rId377" Type="http://schemas.openxmlformats.org/officeDocument/2006/relationships/hyperlink" Target="http://eur-lex.europa.eu/legal-content/EN/TXT/?qid=1521726221502&amp;uri=CELEX:32009L0138" TargetMode="External"/><Relationship Id="rId5" Type="http://schemas.openxmlformats.org/officeDocument/2006/relationships/hyperlink" Target="http://eur-lex.europa.eu/legal-content/EN/TXT/?qid=1521648350685&amp;uri=CELEX:32014L0092" TargetMode="External"/><Relationship Id="rId181" Type="http://schemas.openxmlformats.org/officeDocument/2006/relationships/hyperlink" Target="http://europa.eu/rapid/press-release_MEMO-16-3644_en.htm" TargetMode="External"/><Relationship Id="rId237" Type="http://schemas.openxmlformats.org/officeDocument/2006/relationships/hyperlink" Target="http://eur-lex.europa.eu/legal-content/EN/TXT/?qid=1521799357603&amp;uri=CELEX:32009L0015" TargetMode="External"/><Relationship Id="rId402" Type="http://schemas.openxmlformats.org/officeDocument/2006/relationships/hyperlink" Target="http://eur-lex.europa.eu/legal-content/EN/TXT/?qid=1521834054908&amp;uri=CELEX:32012L0018" TargetMode="External"/><Relationship Id="rId279" Type="http://schemas.openxmlformats.org/officeDocument/2006/relationships/hyperlink" Target="http://europa.eu/rapid/press-release_MEMO-17-1281_en.htm" TargetMode="External"/><Relationship Id="rId444" Type="http://schemas.openxmlformats.org/officeDocument/2006/relationships/hyperlink" Target="http://europa.eu/rapid/press-release_IP-17-238_en.htm" TargetMode="External"/><Relationship Id="rId43" Type="http://schemas.openxmlformats.org/officeDocument/2006/relationships/hyperlink" Target="https://eur-lex.europa.eu/legal-content/EN/TXT/?qid=1522168443068&amp;uri=CELEX:32005R1889" TargetMode="External"/><Relationship Id="rId139" Type="http://schemas.openxmlformats.org/officeDocument/2006/relationships/hyperlink" Target="http://europa.eu/rapid/press-release_MEMO-17-1577_en.htm" TargetMode="External"/><Relationship Id="rId290" Type="http://schemas.openxmlformats.org/officeDocument/2006/relationships/hyperlink" Target="http://europa.eu/rapid/press-release_MEMO-17-4767_en.htm" TargetMode="External"/><Relationship Id="rId304" Type="http://schemas.openxmlformats.org/officeDocument/2006/relationships/hyperlink" Target="http://eur-lex.europa.eu/legal-content/EN/TXT/?qid=1521802115769&amp;uri=CELEX:32015L2203" TargetMode="External"/><Relationship Id="rId346" Type="http://schemas.openxmlformats.org/officeDocument/2006/relationships/hyperlink" Target="http://eur-lex.europa.eu/legal-content/EN/TXT/?qid=1521804092537&amp;uri=CELEX:32012L0034" TargetMode="External"/><Relationship Id="rId388" Type="http://schemas.openxmlformats.org/officeDocument/2006/relationships/hyperlink" Target="http://curia.europa.eu/juris/liste.jsf?language=en&amp;jur=C,T,F&amp;num=C-89/16&amp;td=ALL" TargetMode="External"/><Relationship Id="rId85" Type="http://schemas.openxmlformats.org/officeDocument/2006/relationships/hyperlink" Target="http://eur-lex.europa.eu/legal-content/AUTO/?uri=CELEX:32014L0025&amp;qid=1522068364449&amp;rid=1" TargetMode="External"/><Relationship Id="rId150" Type="http://schemas.openxmlformats.org/officeDocument/2006/relationships/hyperlink" Target="http://curia.europa.eu/juris/liste.jsf?language=en&amp;jur=C,T,F&amp;num=C-201/16&amp;td=ALL" TargetMode="External"/><Relationship Id="rId192" Type="http://schemas.openxmlformats.org/officeDocument/2006/relationships/hyperlink" Target="https://eur-lex.europa.eu/legal-content/EN/TXT/?qid=1521710113476&amp;uri=CELEX:32014L0094" TargetMode="External"/><Relationship Id="rId206" Type="http://schemas.openxmlformats.org/officeDocument/2006/relationships/hyperlink" Target="http://eur-lex.europa.eu/legal-content/EN/TXT/?qid=1521638592777&amp;uri=CELEX:32002L0019" TargetMode="External"/><Relationship Id="rId413" Type="http://schemas.openxmlformats.org/officeDocument/2006/relationships/hyperlink" Target="https://eur-lex.europa.eu/legal-content/EN/TXT/?qid=1522073315191&amp;uri=CELEX:32014L0031" TargetMode="External"/><Relationship Id="rId248" Type="http://schemas.openxmlformats.org/officeDocument/2006/relationships/hyperlink" Target="http://eur-lex.europa.eu/legal-content/EN/TXT/?qid=1521800610791&amp;uri=CELEX:32014L0029" TargetMode="External"/><Relationship Id="rId455" Type="http://schemas.openxmlformats.org/officeDocument/2006/relationships/hyperlink" Target="http://europa.eu/rapid/press-release_IP-16-3128_en.htm" TargetMode="External"/><Relationship Id="rId12" Type="http://schemas.openxmlformats.org/officeDocument/2006/relationships/hyperlink" Target="https://eur-lex.europa.eu/legal-content/EN/TXT/?qid=1521730167006&amp;uri=CELEX:32006L0118" TargetMode="External"/><Relationship Id="rId108" Type="http://schemas.openxmlformats.org/officeDocument/2006/relationships/hyperlink" Target="http://eur-lex.europa.eu/legal-content/EN/TXT/?qid=1521726500980&amp;uri=CELEX:32013L0050http://eur-lex.europa.eu/legal-content/EN/TXT/?qid=1521726500980&amp;uri=CELEX:32013L0050" TargetMode="External"/><Relationship Id="rId315" Type="http://schemas.openxmlformats.org/officeDocument/2006/relationships/hyperlink" Target="http://eur-lex.europa.eu/legal-content/EN/TXT/?qid=1521802658091&amp;uri=CELEX:32012L0034" TargetMode="External"/><Relationship Id="rId357" Type="http://schemas.openxmlformats.org/officeDocument/2006/relationships/hyperlink" Target="http://eur-lex.europa.eu/legal-content/EN/TXT/?qid=1521804522191&amp;uri=CELEX:32013L0036" TargetMode="External"/><Relationship Id="rId54" Type="http://schemas.openxmlformats.org/officeDocument/2006/relationships/hyperlink" Target="http://eur-lex.europa.eu/legal-content/EN/TXT/?qid=1521638895462&amp;uri=CELEX:32003L0088" TargetMode="External"/><Relationship Id="rId96" Type="http://schemas.openxmlformats.org/officeDocument/2006/relationships/hyperlink" Target="https://eur-lex.europa.eu/legal-content/EN/TXT/?qid=1521804065893&amp;uri=CELEX:32015L0849" TargetMode="External"/><Relationship Id="rId161" Type="http://schemas.openxmlformats.org/officeDocument/2006/relationships/hyperlink" Target="http://eur-lex.europa.eu/legal-content/EN/TXT/?qid=1521834515435&amp;uri=CELEX:32015D1523" TargetMode="External"/><Relationship Id="rId217" Type="http://schemas.openxmlformats.org/officeDocument/2006/relationships/hyperlink" Target="http://eur-lex.europa.eu/legal-content/EN/TXT/?qid=1521797248035&amp;uri=CELEX:32015L2203" TargetMode="External"/><Relationship Id="rId399" Type="http://schemas.openxmlformats.org/officeDocument/2006/relationships/hyperlink" Target="https://eur-lex.europa.eu/legal-content/EN/TXT/?qid=1521545327221&amp;uri=CELEX:32014L0036" TargetMode="External"/><Relationship Id="rId259" Type="http://schemas.openxmlformats.org/officeDocument/2006/relationships/hyperlink" Target="http://eur-lex.europa.eu/legal-content/EN/TXT/?qid=1521800994985&amp;uri=CELEX:32006L0126" TargetMode="External"/><Relationship Id="rId424" Type="http://schemas.openxmlformats.org/officeDocument/2006/relationships/hyperlink" Target="http://eur-lex.europa.eu/legal-content/EN/TXT/?qid=1521649763709&amp;uri=CELEX:32014L0065" TargetMode="External"/><Relationship Id="rId466" Type="http://schemas.openxmlformats.org/officeDocument/2006/relationships/hyperlink" Target="https://eur-lex.europa.eu/legal-content/EN/TXT/?qid=1521710565101&amp;uri=CELEX:32012L0034" TargetMode="External"/><Relationship Id="rId23" Type="http://schemas.openxmlformats.org/officeDocument/2006/relationships/hyperlink" Target="http://europa.eu/rapid/press-release_MEMO-14-116_en.htm" TargetMode="External"/><Relationship Id="rId119" Type="http://schemas.openxmlformats.org/officeDocument/2006/relationships/hyperlink" Target="https://curia.europa.eu/jcms/upload/docs/application/pdf/2017-05/cp170048en.pdf" TargetMode="External"/><Relationship Id="rId270" Type="http://schemas.openxmlformats.org/officeDocument/2006/relationships/hyperlink" Target="http://eur-lex.europa.eu/legal-content/EN/TXT/?qid=1521801392192&amp;uri=CELEX:32004L0114" TargetMode="External"/><Relationship Id="rId326" Type="http://schemas.openxmlformats.org/officeDocument/2006/relationships/hyperlink" Target="http://eur-lex.europa.eu/legal-content/EN/TXT/?qid=1521535748978&amp;uri=CELEX:32002L0021" TargetMode="External"/><Relationship Id="rId65" Type="http://schemas.openxmlformats.org/officeDocument/2006/relationships/hyperlink" Target="http://intragate.ec.europa.eu/nif/fiche/modification_consultation/historique.cfm?cId=20160531&amp;mode=consult&amp;modeonglet=consult" TargetMode="External"/><Relationship Id="rId130" Type="http://schemas.openxmlformats.org/officeDocument/2006/relationships/hyperlink" Target="http://eur-lex.europa.eu/legal-content/EN/TXT/?qid=1521833469098&amp;uri=CELEX:32015D0072" TargetMode="External"/><Relationship Id="rId368" Type="http://schemas.openxmlformats.org/officeDocument/2006/relationships/hyperlink" Target="https://eur-lex.europa.eu/legal-content/EN/TXT/?qid=1521815878910&amp;uri=CELEX:32015L0652" TargetMode="External"/><Relationship Id="rId172" Type="http://schemas.openxmlformats.org/officeDocument/2006/relationships/hyperlink" Target="http://eur-lex.europa.eu/legal-content/EN/TXT/?qid=1521638778501&amp;uri=CELEX:32015L1794" TargetMode="External"/><Relationship Id="rId228" Type="http://schemas.openxmlformats.org/officeDocument/2006/relationships/hyperlink" Target="http://europa.eu/rapid/press-release_MEMO-17-1935_en.htm" TargetMode="External"/><Relationship Id="rId435" Type="http://schemas.openxmlformats.org/officeDocument/2006/relationships/hyperlink" Target="http://eur-lex.europa.eu/legal-content/EN/TXT/?qid=1521726500980&amp;uri=CELEX:32013L0050http://eur-lex.europa.eu/legal-content/EN/TXT/?qid=1521726500980&amp;uri=CELEX:32013L0050" TargetMode="External"/><Relationship Id="rId13" Type="http://schemas.openxmlformats.org/officeDocument/2006/relationships/hyperlink" Target="http://eur-lex.europa.eu/legal-content/EN/TXT/?qid=1521730329760&amp;uri=CELEX:32005L0036" TargetMode="External"/><Relationship Id="rId109" Type="http://schemas.openxmlformats.org/officeDocument/2006/relationships/hyperlink" Target="http://eur-lex.europa.eu/legal-content/EN/TXT/?qid=1521833046860&amp;uri=CELEX:32013L0036" TargetMode="External"/><Relationship Id="rId260" Type="http://schemas.openxmlformats.org/officeDocument/2006/relationships/hyperlink" Target="http://curia.europa.eu/juris/liste.jsf?language=en&amp;jur=C,T,F&amp;num=C-665/15&amp;td=ALL" TargetMode="External"/><Relationship Id="rId281" Type="http://schemas.openxmlformats.org/officeDocument/2006/relationships/hyperlink" Target="https://eur-lex.europa.eu/legal-content/EN/TXT/?qid=1521717781508&amp;uri=CELEX:32008L0056" TargetMode="External"/><Relationship Id="rId316" Type="http://schemas.openxmlformats.org/officeDocument/2006/relationships/hyperlink" Target="http://curia.europa.eu/juris/liste.jsf?language=en&amp;jur=C,T,F&amp;num=C-599/15&amp;td=ALL" TargetMode="External"/><Relationship Id="rId337" Type="http://schemas.openxmlformats.org/officeDocument/2006/relationships/hyperlink" Target="http://curia.europa.eu/juris/liste.jsf?language=en&amp;jur=C,T,F&amp;num=C-594/17&amp;td=ALL" TargetMode="External"/><Relationship Id="rId34" Type="http://schemas.openxmlformats.org/officeDocument/2006/relationships/hyperlink" Target="http://europa.eu/rapid/press-release_MEMO-17-1045_en.htm" TargetMode="External"/><Relationship Id="rId55" Type="http://schemas.openxmlformats.org/officeDocument/2006/relationships/hyperlink" Target="http://eur-lex.europa.eu/legal-content/EN/TXT/?qid=1521726500980&amp;uri=CELEX:32013L0050http://eur-lex.europa.eu/legal-content/EN/TXT/?qid=1521726500980&amp;uri=CELEX:32013L0050" TargetMode="External"/><Relationship Id="rId76" Type="http://schemas.openxmlformats.org/officeDocument/2006/relationships/hyperlink" Target="http://eur-lex.europa.eu/legal-content/AUTO/?uri=CELEX:32015L0652&amp;qid=1522068119735&amp;rid=1" TargetMode="External"/><Relationship Id="rId97" Type="http://schemas.openxmlformats.org/officeDocument/2006/relationships/hyperlink" Target="http://europa.eu/rapid/press-release_MEMO-17-4767_en.htm" TargetMode="External"/><Relationship Id="rId120" Type="http://schemas.openxmlformats.org/officeDocument/2006/relationships/hyperlink" Target="http://curia.europa.eu/juris/liste.jsf?pro=&amp;nat=or&amp;oqp=&amp;dates=&amp;lg=&amp;language=en&amp;jur=C%2CT%2CF&amp;cit=none%252CC%252CCJ%252CR%252C2008E%252C%252C%252C%252C%252C%252C%252C%252C%252C%252Ctrue%252Cfalse%252Cfalse&amp;num=C-610%252F15&amp;td=%3BALL&amp;pcs=Oor&amp;avg=&amp;page=1&amp;mat=or&amp;jge=&amp;for=&amp;cid=526428" TargetMode="External"/><Relationship Id="rId141" Type="http://schemas.openxmlformats.org/officeDocument/2006/relationships/hyperlink" Target="http://eur-lex.europa.eu/legal-content/EN/TXT/?qid=1521833607865&amp;uri=CELEX:31996L0071" TargetMode="External"/><Relationship Id="rId358" Type="http://schemas.openxmlformats.org/officeDocument/2006/relationships/hyperlink" Target="https://eur-lex.europa.eu/legal-content/EN/TXT/?qid=1528209985008&amp;uri=CELEX:32014L0087" TargetMode="External"/><Relationship Id="rId379" Type="http://schemas.openxmlformats.org/officeDocument/2006/relationships/hyperlink" Target="https://eur-lex.europa.eu/legal-content/EN/TXT/?qid=1521729299747&amp;uri=CELEX:32011L0092" TargetMode="External"/><Relationship Id="rId7" Type="http://schemas.openxmlformats.org/officeDocument/2006/relationships/hyperlink" Target="https://eur-lex.europa.eu/legal-content/EN/TXT/?qid=1528209985008&amp;uri=CELEX:32014L0087" TargetMode="External"/><Relationship Id="rId162" Type="http://schemas.openxmlformats.org/officeDocument/2006/relationships/hyperlink" Target="http://eur-lex.europa.eu/legal-content/EN/TXT/?qid=1521834539258&amp;uri=CELEX:32015D1601" TargetMode="External"/><Relationship Id="rId183" Type="http://schemas.openxmlformats.org/officeDocument/2006/relationships/hyperlink" Target="https://eur-lex.europa.eu/legal-content/EN/TXT/?qid=1521728058475&amp;uri=CELEX:32009L0147" TargetMode="External"/><Relationship Id="rId218" Type="http://schemas.openxmlformats.org/officeDocument/2006/relationships/hyperlink" Target="http://eur-lex.europa.eu/legal-content/EN/TXT/?qid=1521798430938&amp;uri=CELEX:32013L0055" TargetMode="External"/><Relationship Id="rId239" Type="http://schemas.openxmlformats.org/officeDocument/2006/relationships/hyperlink" Target="http://europa.eu/rapid/press-release_IP-17-1052_en.htm" TargetMode="External"/><Relationship Id="rId390" Type="http://schemas.openxmlformats.org/officeDocument/2006/relationships/hyperlink" Target="http://eur-lex.europa.eu/legal-content/EN/TXT/?qid=1521802115769&amp;uri=CELEX:32015L2203" TargetMode="External"/><Relationship Id="rId404" Type="http://schemas.openxmlformats.org/officeDocument/2006/relationships/hyperlink" Target="http://eur-lex.europa.eu/legal-content/EN/TXT/?qid=1521802178989&amp;uri=CELEX:32011L0095" TargetMode="External"/><Relationship Id="rId425" Type="http://schemas.openxmlformats.org/officeDocument/2006/relationships/hyperlink" Target="https://eur-lex.europa.eu/legal-content/EN/TXT/?qid=1521815099991&amp;uri=CELEX:32015L0652" TargetMode="External"/><Relationship Id="rId446" Type="http://schemas.openxmlformats.org/officeDocument/2006/relationships/hyperlink" Target="https://eur-lex.europa.eu/legal-content/EN/TXT/?qid=1521815878910&amp;uri=CELEX:32015L0652" TargetMode="External"/><Relationship Id="rId467" Type="http://schemas.openxmlformats.org/officeDocument/2006/relationships/hyperlink" Target="https://eur-lex.europa.eu/legal-content/EN/TXT/?qid=1521729140296&amp;uri=CELEX:31991L0271" TargetMode="External"/><Relationship Id="rId250" Type="http://schemas.openxmlformats.org/officeDocument/2006/relationships/hyperlink" Target="http://eur-lex.europa.eu/legal-content/EN/TXT/?qid=1521800690872&amp;uri=CELEX:32014L0035" TargetMode="External"/><Relationship Id="rId271" Type="http://schemas.openxmlformats.org/officeDocument/2006/relationships/hyperlink" Target="http://eur-lex.europa.eu/legal-content/EN/TXT/?qid=1521801468193&amp;uri=CELEX:32005L0071" TargetMode="External"/><Relationship Id="rId292" Type="http://schemas.openxmlformats.org/officeDocument/2006/relationships/hyperlink" Target="http://eur-lex.europa.eu/legal-content/EN/TXT/?qid=1521801865082&amp;uri=CELEX:32016L1034" TargetMode="External"/><Relationship Id="rId306" Type="http://schemas.openxmlformats.org/officeDocument/2006/relationships/hyperlink" Target="http://eur-lex.europa.eu/legal-content/EN/TXT/?qid=1521802178989&amp;uri=CELEX:32011L0095" TargetMode="External"/><Relationship Id="rId24" Type="http://schemas.openxmlformats.org/officeDocument/2006/relationships/hyperlink" Target="http://eur-lex.europa.eu/legal-content/EN/TXT/?qid=1522077156922&amp;uri=CELEX:32006R1083" TargetMode="External"/><Relationship Id="rId45" Type="http://schemas.openxmlformats.org/officeDocument/2006/relationships/hyperlink" Target="http://eur-lex.europa.eu/legal-content/en/TXT/?uri=CELEX%3A32015D1601" TargetMode="External"/><Relationship Id="rId66" Type="http://schemas.openxmlformats.org/officeDocument/2006/relationships/hyperlink" Target="http://curia.europa.eu/juris/liste.jsf?language=en&amp;jur=C,T,F&amp;num=49/16&amp;td=ALL" TargetMode="External"/><Relationship Id="rId87" Type="http://schemas.openxmlformats.org/officeDocument/2006/relationships/hyperlink" Target="https://eur-lex.europa.eu/legal-content/EN/TXT/?qid=1521545327221&amp;uri=CELEX:32014L0036" TargetMode="External"/><Relationship Id="rId110" Type="http://schemas.openxmlformats.org/officeDocument/2006/relationships/hyperlink" Target="http://eur-lex.europa.eu/legal-content/EN/TXT/?qid=1521833022528&amp;uri=CELEX:32012L0034" TargetMode="External"/><Relationship Id="rId131" Type="http://schemas.openxmlformats.org/officeDocument/2006/relationships/hyperlink" Target="http://curia.europa.eu/juris/liste.jsf?language=en&amp;jur=C,T,F&amp;num=C-281/16&amp;td=ALL" TargetMode="External"/><Relationship Id="rId327" Type="http://schemas.openxmlformats.org/officeDocument/2006/relationships/hyperlink" Target="http://europa.eu/rapid/press-release_MEMO-17-3494_en.htm" TargetMode="External"/><Relationship Id="rId348" Type="http://schemas.openxmlformats.org/officeDocument/2006/relationships/hyperlink" Target="http://eur-lex.europa.eu/legal-content/EN/TXT/?qid=1521804133486&amp;uri=CELEX:32013L0034" TargetMode="External"/><Relationship Id="rId369" Type="http://schemas.openxmlformats.org/officeDocument/2006/relationships/hyperlink" Target="https://eur-lex.europa.eu/legal-content/EN/TXT/?qid=1521813846684&amp;uri=CELEX:31998L0070" TargetMode="External"/><Relationship Id="rId152" Type="http://schemas.openxmlformats.org/officeDocument/2006/relationships/hyperlink" Target="http://eur-lex.europa.eu/legal-content/EN/TXT/?qid=1521835086798&amp;uri=CELEX:32004L0035" TargetMode="External"/><Relationship Id="rId173" Type="http://schemas.openxmlformats.org/officeDocument/2006/relationships/hyperlink" Target="http://eur-lex.europa.eu/legal-content/EN/TXT/?qid=1521638736725&amp;uri=CELEX:32014L0112" TargetMode="External"/><Relationship Id="rId194" Type="http://schemas.openxmlformats.org/officeDocument/2006/relationships/hyperlink" Target="http://eur-lex.europa.eu/legal-content/EN/TXT/?qid=1521834026789&amp;uri=CELEX:32008L0057" TargetMode="External"/><Relationship Id="rId208" Type="http://schemas.openxmlformats.org/officeDocument/2006/relationships/hyperlink" Target="http://curia.europa.eu/juris/liste.jsf?language=en&amp;jur=C,T,F&amp;num=106/16&amp;td=ALL" TargetMode="External"/><Relationship Id="rId229" Type="http://schemas.openxmlformats.org/officeDocument/2006/relationships/hyperlink" Target="http://eur-lex.europa.eu/legal-content/EN/TXT/?qid=1521799209451&amp;uri=CELEX:32014L0068" TargetMode="External"/><Relationship Id="rId380" Type="http://schemas.openxmlformats.org/officeDocument/2006/relationships/hyperlink" Target="http://eur-lex.europa.eu/legal-content/EN/TXT/?qid=1521834515435&amp;uri=CELEX:32015D1523" TargetMode="External"/><Relationship Id="rId415" Type="http://schemas.openxmlformats.org/officeDocument/2006/relationships/hyperlink" Target="https://eur-lex.europa.eu/legal-content/EN/TXT/?qid=1521712669727&amp;uri=CELEX:32000L0059" TargetMode="External"/><Relationship Id="rId436" Type="http://schemas.openxmlformats.org/officeDocument/2006/relationships/hyperlink" Target="http://eur-lex.europa.eu/legal-content/AUTO/?uri=CELEX:32014L0049&amp;qid=1522056159136&amp;rid=1" TargetMode="External"/><Relationship Id="rId457" Type="http://schemas.openxmlformats.org/officeDocument/2006/relationships/hyperlink" Target="http://curia.europa.eu/juris/liste.jsf?language=en&amp;jur=C,T,F&amp;num=C-503/17&amp;td=ALL" TargetMode="External"/><Relationship Id="rId240" Type="http://schemas.openxmlformats.org/officeDocument/2006/relationships/hyperlink" Target="http://eur-lex.europa.eu/legal-content/EN/TXT/?qid=1521799395155&amp;uri=CELEX:32009L0021" TargetMode="External"/><Relationship Id="rId261" Type="http://schemas.openxmlformats.org/officeDocument/2006/relationships/hyperlink" Target="http://eur-lex.europa.eu/legal-content/EN/TXT/?qid=1521801047327&amp;uri=CELEX:32008L0118" TargetMode="External"/><Relationship Id="rId14" Type="http://schemas.openxmlformats.org/officeDocument/2006/relationships/hyperlink" Target="http://eur-lex.europa.eu/legal-content/EN/TXT/?qid=1521726221502&amp;uri=CELEX:32009L0138" TargetMode="External"/><Relationship Id="rId35" Type="http://schemas.openxmlformats.org/officeDocument/2006/relationships/hyperlink" Target="http://europa.eu/rapid/press-release_IP-17-1982_en.htm" TargetMode="External"/><Relationship Id="rId56" Type="http://schemas.openxmlformats.org/officeDocument/2006/relationships/hyperlink" Target="https://eur-lex.europa.eu/legal-content/EN/TXT/?qid=1521815878910&amp;uri=CELEX:32015L0652" TargetMode="External"/><Relationship Id="rId77" Type="http://schemas.openxmlformats.org/officeDocument/2006/relationships/hyperlink" Target="https://eur-lex.europa.eu/legal-content/EN/TXT/?qid=1521813846684&amp;uri=CELEX:31998L0070" TargetMode="External"/><Relationship Id="rId100" Type="http://schemas.openxmlformats.org/officeDocument/2006/relationships/hyperlink" Target="https://eur-lex.europa.eu/legal-content/EN/TXT/?qid=1521646324831&amp;uri=CELEX:32009L0072" TargetMode="External"/><Relationship Id="rId282" Type="http://schemas.openxmlformats.org/officeDocument/2006/relationships/hyperlink" Target="https://eur-lex.europa.eu/legal-content/EN/TXT/?qid=1521726742344&amp;uri=CELEX:32002L0049" TargetMode="External"/><Relationship Id="rId317" Type="http://schemas.openxmlformats.org/officeDocument/2006/relationships/hyperlink" Target="http://curia.europa.eu/juris/liste.jsf?language=en&amp;jur=C,T,F&amp;num=C-632/15&amp;td=ALL" TargetMode="External"/><Relationship Id="rId338" Type="http://schemas.openxmlformats.org/officeDocument/2006/relationships/hyperlink" Target="http://europa.eu/rapid/press-release_IP-17-1956_en.htm" TargetMode="External"/><Relationship Id="rId359" Type="http://schemas.openxmlformats.org/officeDocument/2006/relationships/hyperlink" Target="https://eur-lex.europa.eu/legal-content/EN/TXT/?qid=1521717466496&amp;uri=CELEX:31999L0031" TargetMode="External"/><Relationship Id="rId8" Type="http://schemas.openxmlformats.org/officeDocument/2006/relationships/hyperlink" Target="http://europa.eu/rapid/press-release_MEMO-17-1281_en.htm" TargetMode="External"/><Relationship Id="rId98" Type="http://schemas.openxmlformats.org/officeDocument/2006/relationships/hyperlink" Target="http://eur-lex.europa.eu/legal-content/EN/TXT/?qid=1521649763709&amp;uri=CELEX:32014L0065" TargetMode="External"/><Relationship Id="rId121" Type="http://schemas.openxmlformats.org/officeDocument/2006/relationships/hyperlink" Target="http://curia.europa.eu/juris/liste.jsf?language=en&amp;jur=C,T,F&amp;num=C-302/16&amp;td=ALL" TargetMode="External"/><Relationship Id="rId142" Type="http://schemas.openxmlformats.org/officeDocument/2006/relationships/hyperlink" Target="http://europa.eu/rapid/press-release_IP-17-1053_en.htm" TargetMode="External"/><Relationship Id="rId163" Type="http://schemas.openxmlformats.org/officeDocument/2006/relationships/hyperlink" Target="http://europa.eu/rapid/search-result.htm?quickSearch=1&amp;text=IP%2F17%2F5002" TargetMode="External"/><Relationship Id="rId184" Type="http://schemas.openxmlformats.org/officeDocument/2006/relationships/hyperlink" Target="http://curia.europa.eu/juris/liste.jsf?language=en&amp;jur=C,T,F&amp;num=C-441/17&amp;td=ALL" TargetMode="External"/><Relationship Id="rId219" Type="http://schemas.openxmlformats.org/officeDocument/2006/relationships/hyperlink" Target="http://eur-lex.europa.eu/legal-content/EN/TXT/?qid=1521798974426&amp;uri=CELEX:32015L0849" TargetMode="External"/><Relationship Id="rId370" Type="http://schemas.openxmlformats.org/officeDocument/2006/relationships/hyperlink" Target="https://eur-lex.europa.eu/legal-content/EN/TXT/?qid=1521804065893&amp;uri=CELEX:32015L0849" TargetMode="External"/><Relationship Id="rId391" Type="http://schemas.openxmlformats.org/officeDocument/2006/relationships/hyperlink" Target="http://eur-lex.europa.eu/legal-content/AUTO/?uri=CELEX:32014L0089&amp;qid=1522058494692&amp;rid=1" TargetMode="External"/><Relationship Id="rId405" Type="http://schemas.openxmlformats.org/officeDocument/2006/relationships/hyperlink" Target="http://eur-lex.europa.eu/legal-content/EN/TXT/?qid=1521726408366&amp;uri=CELEX:32013L0034" TargetMode="External"/><Relationship Id="rId426" Type="http://schemas.openxmlformats.org/officeDocument/2006/relationships/hyperlink" Target="https://eur-lex.europa.eu/legal-content/EN/TXT/?qid=1521813846684&amp;uri=CELEX:31998L0070" TargetMode="External"/><Relationship Id="rId447" Type="http://schemas.openxmlformats.org/officeDocument/2006/relationships/hyperlink" Target="https://eur-lex.europa.eu/legal-content/EN/TXT/?qid=1521813846684&amp;uri=CELEX:31998L0070" TargetMode="External"/><Relationship Id="rId230" Type="http://schemas.openxmlformats.org/officeDocument/2006/relationships/hyperlink" Target="http://europa.eu/rapid/press-release_MEMO-17-1936_en.htm" TargetMode="External"/><Relationship Id="rId251" Type="http://schemas.openxmlformats.org/officeDocument/2006/relationships/hyperlink" Target="http://eur-lex.europa.eu/legal-content/EN/TXT/?qid=1521800725549&amp;uri=CELEX:32014L0053" TargetMode="External"/><Relationship Id="rId468" Type="http://schemas.openxmlformats.org/officeDocument/2006/relationships/hyperlink" Target="http://curia.europa.eu/juris/liste.jsf?language=en&amp;jur=C,T,F&amp;num=C-502/15&amp;td=ALL" TargetMode="External"/><Relationship Id="rId25" Type="http://schemas.openxmlformats.org/officeDocument/2006/relationships/hyperlink" Target="http://curia.europa.eu/juris/liste.jsf?pro=&amp;nat=or&amp;oqp=&amp;dates=&amp;lg=&amp;language=en&amp;jur=C%2CT%2CF&amp;cit=none%252CC%252CCJ%252CR%252C2008E%252C%252C%252C%252C%252C%252C%252C%252C%252C%252Ctrue%252Cfalse%252Cfalse&amp;num=T-109%252F10&amp;td=%3BALL&amp;pcs=Oor&amp;avg=&amp;page=1&amp;mat=or&amp;jge=&amp;for=&amp;cid=233763" TargetMode="External"/><Relationship Id="rId46" Type="http://schemas.openxmlformats.org/officeDocument/2006/relationships/hyperlink" Target="http://curia.europa.eu/juris/liste.jsf?pro=&amp;nat=or&amp;oqp=&amp;dates=&amp;lg=&amp;language=en&amp;jur=C%2CT%2CF&amp;cit=none%252CC%252CCJ%252CR%252C2008E%252C%252C%252C%252C%252C%252C%252C%252C%252C%252Ctrue%252Cfalse%252Cfalse&amp;num=C-718%252F17&amp;td=%3BALL&amp;pcs=Oor&amp;avg=&amp;page=1&amp;mat=or&amp;jge=&amp;for=&amp;cid=165378" TargetMode="External"/><Relationship Id="rId67" Type="http://schemas.openxmlformats.org/officeDocument/2006/relationships/hyperlink" Target="http://curia.europa.eu/juris/liste.jsf?language=en&amp;jur=C,T,F&amp;num=129/16&amp;td=ALL" TargetMode="External"/><Relationship Id="rId272" Type="http://schemas.openxmlformats.org/officeDocument/2006/relationships/hyperlink" Target="http://eur-lex.europa.eu/legal-content/EN/TXT/?qid=1521801529284&amp;uri=CELEX:32009L0050" TargetMode="External"/><Relationship Id="rId293" Type="http://schemas.openxmlformats.org/officeDocument/2006/relationships/hyperlink" Target="http://eur-lex.europa.eu/legal-content/EN/TXT/?qid=1521801901133&amp;uri=CELEX:32014L0056" TargetMode="External"/><Relationship Id="rId307" Type="http://schemas.openxmlformats.org/officeDocument/2006/relationships/hyperlink" Target="http://eur-lex.europa.eu/legal-content/EN/TXT/?qid=1521802208534&amp;uri=CELEX:32014L0024" TargetMode="External"/><Relationship Id="rId328" Type="http://schemas.openxmlformats.org/officeDocument/2006/relationships/hyperlink" Target="https://eur-lex.europa.eu/legal-content/EN/TXT/?qid=1521726742344&amp;uri=CELEX:32002L0049" TargetMode="External"/><Relationship Id="rId349" Type="http://schemas.openxmlformats.org/officeDocument/2006/relationships/hyperlink" Target="http://eur-lex.europa.eu/legal-content/EN/TXT/?qid=1521804211337&amp;uri=CELEX:32015L2087" TargetMode="External"/><Relationship Id="rId88" Type="http://schemas.openxmlformats.org/officeDocument/2006/relationships/hyperlink" Target="http://eur-lex.europa.eu/legal-content/EN/TXT/?qid=1521726221502&amp;uri=CELEX:32009L0138" TargetMode="External"/><Relationship Id="rId111" Type="http://schemas.openxmlformats.org/officeDocument/2006/relationships/hyperlink" Target="http://eur-lex.europa.eu/legal-content/EN/TXT/?qid=1521726408366&amp;uri=CELEX:32013L0034" TargetMode="External"/><Relationship Id="rId132" Type="http://schemas.openxmlformats.org/officeDocument/2006/relationships/hyperlink" Target="http://eur-lex.europa.eu/legal-content/EN/TXT/?qid=1521833518744&amp;uri=CELEX:32013L0055" TargetMode="External"/><Relationship Id="rId153" Type="http://schemas.openxmlformats.org/officeDocument/2006/relationships/hyperlink" Target="http://curia.europa.eu/juris/liste.jsf?language=en&amp;jur=C,T,F&amp;num=C-529/15&amp;td=ALL" TargetMode="External"/><Relationship Id="rId174" Type="http://schemas.openxmlformats.org/officeDocument/2006/relationships/hyperlink" Target="http://eur-lex.europa.eu/legal-content/EN/TXT/?qid=1521834739741&amp;uri=CELEX:32015D1523" TargetMode="External"/><Relationship Id="rId195" Type="http://schemas.openxmlformats.org/officeDocument/2006/relationships/hyperlink" Target="http://europa.eu/rapid/search-result.htm?text=IP%2F17%2F5109&amp;titleOnly=0&amp;textMatch=all&amp;page=1&amp;format=HTML&amp;size=10&amp;locale=EN" TargetMode="External"/><Relationship Id="rId209" Type="http://schemas.openxmlformats.org/officeDocument/2006/relationships/hyperlink" Target="https://curia.europa.eu/jcms/upload/docs/application/pdf/2017-10/cp170112en.pdf" TargetMode="External"/><Relationship Id="rId360" Type="http://schemas.openxmlformats.org/officeDocument/2006/relationships/hyperlink" Target="http://eur-lex.europa.eu/legal-content/EN/TXT/?qid=1521805043599&amp;uri=CELEX:32008L0098" TargetMode="External"/><Relationship Id="rId381" Type="http://schemas.openxmlformats.org/officeDocument/2006/relationships/hyperlink" Target="http://eur-lex.europa.eu/legal-content/EN/TXT/?qid=1521834539258&amp;uri=CELEX:32015D1601" TargetMode="External"/><Relationship Id="rId416" Type="http://schemas.openxmlformats.org/officeDocument/2006/relationships/hyperlink" Target="https://eur-lex.europa.eu/legal-content/EN/TXT/?qid=1522073143734&amp;uri=CELEX:32013L0053" TargetMode="External"/><Relationship Id="rId220" Type="http://schemas.openxmlformats.org/officeDocument/2006/relationships/hyperlink" Target="http://eur-lex.europa.eu/legal-content/EN/TXT/?qid=1521649763709&amp;uri=CELEX:32014L0065" TargetMode="External"/><Relationship Id="rId241" Type="http://schemas.openxmlformats.org/officeDocument/2006/relationships/hyperlink" Target="http://curia.europa.eu/juris/liste.jsf?language=en&amp;jur=C,T,F&amp;num=C-383/17&amp;td=ALL" TargetMode="External"/><Relationship Id="rId437" Type="http://schemas.openxmlformats.org/officeDocument/2006/relationships/hyperlink" Target="file:///\\net1.cec.eu.int\SG\SG-C-3\Restricted\INFRACTIONS\RAPPORTS%20ANNUELS\35eme%20RAPPORT%20ANNUEL%202017\09.%20ISC\2014\59\EU" TargetMode="External"/><Relationship Id="rId458" Type="http://schemas.openxmlformats.org/officeDocument/2006/relationships/hyperlink" Target="http://europa.eu/rapid/press-release_IP-14-810_en.htm" TargetMode="External"/><Relationship Id="rId15" Type="http://schemas.openxmlformats.org/officeDocument/2006/relationships/hyperlink" Target="file://\\net1.cec.eu.int\SG\SG-C-3\Restricted\INFRACTIONS\RAPPORTS%20ANNUELS\Forms\AllItems.aspx?RootFolder=\infr\Annual%20report\Annual%20Report%202017\Annual%20report%20DGT&amp;FolderCTID=0x012000E3B3E9621D1C8448A2B36789E256FD3B&amp;View=%7b5ED27360-B467-4095-916F-5B82B0F76672%7d&amp;InitialTabId=Ribbon.Document&amp;VisibilityContext=WSSTabPersistence" TargetMode="External"/><Relationship Id="rId36" Type="http://schemas.openxmlformats.org/officeDocument/2006/relationships/hyperlink" Target="http://europa.eu/rapid/press-release_IP-17-3663_en.htm" TargetMode="External"/><Relationship Id="rId57" Type="http://schemas.openxmlformats.org/officeDocument/2006/relationships/hyperlink" Target="https://eur-lex.europa.eu/legal-content/EN/TXT/?qid=1521813846684&amp;uri=CELEX:31998L0070" TargetMode="External"/><Relationship Id="rId262" Type="http://schemas.openxmlformats.org/officeDocument/2006/relationships/hyperlink" Target="http://curia.europa.eu/juris/liste.jsf?language=en&amp;jur=C,T,F&amp;num=C-126/15&amp;td=ALL" TargetMode="External"/><Relationship Id="rId283" Type="http://schemas.openxmlformats.org/officeDocument/2006/relationships/hyperlink" Target="http://europa.eu/rapid/press-release_MEMO-17-3494_en.htm" TargetMode="External"/><Relationship Id="rId318" Type="http://schemas.openxmlformats.org/officeDocument/2006/relationships/hyperlink" Target="http://curia.europa.eu/juris/liste.jsf?language=en&amp;jur=C,T,F&amp;num=C-186/16&amp;td=ALL" TargetMode="External"/><Relationship Id="rId339" Type="http://schemas.openxmlformats.org/officeDocument/2006/relationships/hyperlink" Target="http://eur-lex.europa.eu/legal-content/EN/TXT/?qid=1521804577593&amp;uri=CELEX:32012R0748" TargetMode="External"/><Relationship Id="rId78" Type="http://schemas.openxmlformats.org/officeDocument/2006/relationships/hyperlink" Target="http://europa.eu/rapid/press-release_MEMO-17-1281_en.htm" TargetMode="External"/><Relationship Id="rId99" Type="http://schemas.openxmlformats.org/officeDocument/2006/relationships/hyperlink" Target="http://eur-lex.europa.eu/legal-content/EN/TXT/?qid=1521648350685&amp;uri=CELEX:32014L0092" TargetMode="External"/><Relationship Id="rId101" Type="http://schemas.openxmlformats.org/officeDocument/2006/relationships/hyperlink" Target="https://eur-lex.europa.eu/legal-content/EN/TXT/?qid=1521646366481&amp;uri=CELEX:32009L0073" TargetMode="External"/><Relationship Id="rId122" Type="http://schemas.openxmlformats.org/officeDocument/2006/relationships/hyperlink" Target="http://curia.europa.eu/juris/liste.jsf?language=en&amp;jur=C,T,F&amp;num=C-158/14&amp;td=ALL" TargetMode="External"/><Relationship Id="rId143" Type="http://schemas.openxmlformats.org/officeDocument/2006/relationships/hyperlink" Target="http://eur-lex.europa.eu/legal-content/EN/TXT/?qid=1521730329760&amp;uri=CELEX:32005L0036" TargetMode="External"/><Relationship Id="rId164" Type="http://schemas.openxmlformats.org/officeDocument/2006/relationships/hyperlink" Target="https://eur-lex.europa.eu/legal-content/EN/TXT/?qid=1521726742344&amp;uri=CELEX:32002L0049" TargetMode="External"/><Relationship Id="rId185" Type="http://schemas.openxmlformats.org/officeDocument/2006/relationships/hyperlink" Target="http://europa.eu/rapid/press-release_IP-17-1948_en.htm" TargetMode="External"/><Relationship Id="rId350" Type="http://schemas.openxmlformats.org/officeDocument/2006/relationships/hyperlink" Target="http://eur-lex.europa.eu/legal-content/EN/TXT/?qid=1521804247993&amp;uri=CELEX:32000L0059" TargetMode="External"/><Relationship Id="rId371" Type="http://schemas.openxmlformats.org/officeDocument/2006/relationships/hyperlink" Target="http://eur-lex.europa.eu/legal-content/EN/TXT/?qid=1521649763709&amp;uri=CELEX:32014L0065" TargetMode="External"/><Relationship Id="rId406" Type="http://schemas.openxmlformats.org/officeDocument/2006/relationships/hyperlink" Target="http://eur-lex.europa.eu/legal-content/EN/TXT/?qid=1521804283817&amp;uri=CELEX:32014L0091" TargetMode="External"/><Relationship Id="rId9" Type="http://schemas.openxmlformats.org/officeDocument/2006/relationships/hyperlink" Target="http://europa.eu/rapid/press-release_MEMO-17-3494_en.htm" TargetMode="External"/><Relationship Id="rId210" Type="http://schemas.openxmlformats.org/officeDocument/2006/relationships/hyperlink" Target="http://eur-lex.europa.eu/legal-content/EN/TXT/?qid=1521833915607&amp;uri=CELEX:32009R0810" TargetMode="External"/><Relationship Id="rId392" Type="http://schemas.openxmlformats.org/officeDocument/2006/relationships/hyperlink" Target="http://europa.eu/rapid/press-release_MEMO-17-1935_en.htm" TargetMode="External"/><Relationship Id="rId427" Type="http://schemas.openxmlformats.org/officeDocument/2006/relationships/hyperlink" Target="https://eur-lex.europa.eu/legal-content/EN/TXT/?qid=1521815164793&amp;uri=CELEX:32014L0066" TargetMode="External"/><Relationship Id="rId448" Type="http://schemas.openxmlformats.org/officeDocument/2006/relationships/hyperlink" Target="http://eur-lex.europa.eu/legal-content/EN/TXT/?qid=1521638736725&amp;uri=CELEX:32014L0112" TargetMode="External"/><Relationship Id="rId469" Type="http://schemas.openxmlformats.org/officeDocument/2006/relationships/hyperlink" Target="https://eur-lex.europa.eu/legal-content/EN/TXT/?qid=1521802144039&amp;uri=CELEX:32004L0038" TargetMode="External"/><Relationship Id="rId26" Type="http://schemas.openxmlformats.org/officeDocument/2006/relationships/hyperlink" Target="http://curia.europa.eu/juris/liste.jsf?language=en&amp;jur=C,T,F&amp;num=682/15&amp;td=ALL" TargetMode="External"/><Relationship Id="rId231" Type="http://schemas.openxmlformats.org/officeDocument/2006/relationships/hyperlink" Target="http://eur-lex.europa.eu/legal-content/EN/TXT/?qid=1521799251387&amp;uri=CELEX:32011L0007" TargetMode="External"/><Relationship Id="rId252" Type="http://schemas.openxmlformats.org/officeDocument/2006/relationships/hyperlink" Target="http://eur-lex.europa.eu/legal-content/EN/TXT/?qid=1521800761030&amp;uri=CELEX:32015L2087" TargetMode="External"/><Relationship Id="rId273" Type="http://schemas.openxmlformats.org/officeDocument/2006/relationships/hyperlink" Target="http://eur-lex.europa.eu/legal-content/EN/TXT/?qid=1521801566206&amp;uri=CELEX:32011L0098" TargetMode="External"/><Relationship Id="rId294" Type="http://schemas.openxmlformats.org/officeDocument/2006/relationships/hyperlink" Target="http://eur-lex.europa.eu/legal-content/EN/TXT/?qid=1521801933805&amp;uri=CELEX:32014L0092" TargetMode="External"/><Relationship Id="rId308" Type="http://schemas.openxmlformats.org/officeDocument/2006/relationships/hyperlink" Target="http://eur-lex.europa.eu/legal-content/EN/TXT/?qid=1521802241501&amp;uri=CELEX:32014L0023" TargetMode="External"/><Relationship Id="rId329" Type="http://schemas.openxmlformats.org/officeDocument/2006/relationships/hyperlink" Target="http://europa.eu/rapid/press-release_MEMO-17-3494_en.htm" TargetMode="External"/><Relationship Id="rId47" Type="http://schemas.openxmlformats.org/officeDocument/2006/relationships/hyperlink" Target="http://europa.eu/rapid/press-release_IP-17-5002_en.htm" TargetMode="External"/><Relationship Id="rId68" Type="http://schemas.openxmlformats.org/officeDocument/2006/relationships/hyperlink" Target="http://eur-lex.europa.eu/legal-content/EN/TXT/?qid=1522076587260&amp;uri=CELEX:31999L0062" TargetMode="External"/><Relationship Id="rId89" Type="http://schemas.openxmlformats.org/officeDocument/2006/relationships/hyperlink" Target="http://eur-lex.europa.eu/legal-content/EN/TXT/?qid=1521726342201&amp;uri=CELEX:32014L0051" TargetMode="External"/><Relationship Id="rId112" Type="http://schemas.openxmlformats.org/officeDocument/2006/relationships/hyperlink" Target="http://eur-lex.europa.eu/legal-content/EN/TXT/?qid=1521833074615&amp;uri=CELEX:32014L0095" TargetMode="External"/><Relationship Id="rId133" Type="http://schemas.openxmlformats.org/officeDocument/2006/relationships/hyperlink" Target="https://eur-lex.europa.eu/legal-content/EN/TXT/?qid=1521815878910&amp;uri=CELEX:32015L0652" TargetMode="External"/><Relationship Id="rId154" Type="http://schemas.openxmlformats.org/officeDocument/2006/relationships/hyperlink" Target="http://europa.eu/rapid/search-result.htm?text=IP%2F17%2F2205&amp;titleOnly=0&amp;textMatch=all&amp;page=1&amp;format=HTML&amp;size=10&amp;locale=EN" TargetMode="External"/><Relationship Id="rId175" Type="http://schemas.openxmlformats.org/officeDocument/2006/relationships/hyperlink" Target="http://eur-lex.europa.eu/legal-content/EN/TXT/?qid=1521834772997&amp;uri=CELEX:32015D1601" TargetMode="External"/><Relationship Id="rId340" Type="http://schemas.openxmlformats.org/officeDocument/2006/relationships/hyperlink" Target="http://eur-lex.europa.eu/legal-content/EN/TXT/?qid=1521804653819&amp;uri=CELEX:32014R1321" TargetMode="External"/><Relationship Id="rId361" Type="http://schemas.openxmlformats.org/officeDocument/2006/relationships/hyperlink" Target="http://curia.europa.eu/juris/liste.jsf?language=en&amp;jur=C,T,F&amp;num=C-153/16&amp;td=ALL" TargetMode="External"/><Relationship Id="rId196" Type="http://schemas.openxmlformats.org/officeDocument/2006/relationships/hyperlink" Target="http://eur-lex.europa.eu/legal-content/EN/TXT/?qid=1521834054908&amp;uri=CELEX:32012L0018" TargetMode="External"/><Relationship Id="rId200" Type="http://schemas.openxmlformats.org/officeDocument/2006/relationships/hyperlink" Target="http://eur-lex.europa.eu/legal-content/EN/TXT/?qid=1521834190621&amp;uri=CELEX:32013L0034" TargetMode="External"/><Relationship Id="rId382" Type="http://schemas.openxmlformats.org/officeDocument/2006/relationships/hyperlink" Target="http://europa.eu/rapid/search-result.htm?quickSearch=1&amp;text=IP%2F17%2F5002" TargetMode="External"/><Relationship Id="rId417" Type="http://schemas.openxmlformats.org/officeDocument/2006/relationships/hyperlink" Target="http://europa.eu/rapid/press-release_MEMO-17-1577_en.htm" TargetMode="External"/><Relationship Id="rId438" Type="http://schemas.openxmlformats.org/officeDocument/2006/relationships/hyperlink" Target="http://eur-lex.europa.eu/legal-content/EN/TXT/?qid=1521804283817&amp;uri=CELEX:32014L0091" TargetMode="External"/><Relationship Id="rId459" Type="http://schemas.openxmlformats.org/officeDocument/2006/relationships/hyperlink" Target="http://eur-lex.europa.eu/legal-content/EN/TXT/?qid=1521638179294&amp;uri=CELEX:32001L0029" TargetMode="External"/><Relationship Id="rId16" Type="http://schemas.openxmlformats.org/officeDocument/2006/relationships/hyperlink" Target="http://eur-lex.europa.eu/legal-content/EN/TXT/?qid=1521726342201&amp;uri=CELEX:32014L0051" TargetMode="External"/><Relationship Id="rId221" Type="http://schemas.openxmlformats.org/officeDocument/2006/relationships/hyperlink" Target="http://eur-lex.europa.eu/legal-content/EN/TXT/?qid=1521799131257&amp;uri=CELEX:32014L0092" TargetMode="External"/><Relationship Id="rId242" Type="http://schemas.openxmlformats.org/officeDocument/2006/relationships/hyperlink" Target="http://europa.eu/rapid/press-release_IP-17-1052_en.htm" TargetMode="External"/><Relationship Id="rId263" Type="http://schemas.openxmlformats.org/officeDocument/2006/relationships/hyperlink" Target="http://eur-lex.europa.eu/legal-content/EN/TXT/?qid=1521801047327&amp;uri=CELEX:32008L0118" TargetMode="External"/><Relationship Id="rId284" Type="http://schemas.openxmlformats.org/officeDocument/2006/relationships/hyperlink" Target="http://eur-lex.europa.eu/legal-content/EN/TXT/?qid=1521801742231&amp;uri=CELEX:32014L0099" TargetMode="External"/><Relationship Id="rId319" Type="http://schemas.openxmlformats.org/officeDocument/2006/relationships/hyperlink" Target="https://curia.europa.eu/jcms/upload/docs/application/pdf/2017-09/cp170103en.pdf" TargetMode="External"/><Relationship Id="rId470" Type="http://schemas.openxmlformats.org/officeDocument/2006/relationships/hyperlink" Target="http://curia.europa.eu/juris/liste.jsf?language=en&amp;jur=C,T,F&amp;num=C-165/16&amp;td=ALL" TargetMode="External"/><Relationship Id="rId37" Type="http://schemas.openxmlformats.org/officeDocument/2006/relationships/hyperlink" Target="http://europa.eu/rapid/press-release_IP-17-5003_en.htm" TargetMode="External"/><Relationship Id="rId58" Type="http://schemas.openxmlformats.org/officeDocument/2006/relationships/hyperlink" Target="http://curia.europa.eu/juris/liste.jsf?language=en&amp;jur=C,T,F&amp;num=392/15&amp;td=ALL" TargetMode="External"/><Relationship Id="rId79" Type="http://schemas.openxmlformats.org/officeDocument/2006/relationships/hyperlink" Target="http://europa.eu/rapid/press-release_MEMO-17-3494_en.htm" TargetMode="External"/><Relationship Id="rId102" Type="http://schemas.openxmlformats.org/officeDocument/2006/relationships/hyperlink" Target="http://europa.eu/rapid/press-release_MEMO-17-1577_en.htm" TargetMode="External"/><Relationship Id="rId123" Type="http://schemas.openxmlformats.org/officeDocument/2006/relationships/hyperlink" Target="http://curia.europa.eu/juris/liste.jsf?language=en&amp;jur=C,T,F&amp;num=C-225/16&amp;td=ALL" TargetMode="External"/><Relationship Id="rId144" Type="http://schemas.openxmlformats.org/officeDocument/2006/relationships/hyperlink" Target="http://eur-lex.europa.eu/legal-content/EN/TXT/?qid=1521726221502&amp;uri=CELEX:32009L0138" TargetMode="External"/><Relationship Id="rId330" Type="http://schemas.openxmlformats.org/officeDocument/2006/relationships/hyperlink" Target="http://eur-lex.europa.eu/legal-content/en/TXT/?uri=CELEX:12012E/TXT" TargetMode="External"/><Relationship Id="rId90" Type="http://schemas.openxmlformats.org/officeDocument/2006/relationships/hyperlink" Target="http://eur-lex.europa.eu/legal-content/EN/TXT/?qid=1521726408366&amp;uri=CELEX:32013L0034" TargetMode="External"/><Relationship Id="rId165" Type="http://schemas.openxmlformats.org/officeDocument/2006/relationships/hyperlink" Target="http://europa.eu/rapid/press-release_MEMO-17-1281_en.htm" TargetMode="External"/><Relationship Id="rId186" Type="http://schemas.openxmlformats.org/officeDocument/2006/relationships/hyperlink" Target="http://curia.europa.eu/juris/liste.jsf?language=en&amp;jur=C,T,F&amp;num=C-441/17%20R&amp;td=ALL" TargetMode="External"/><Relationship Id="rId351" Type="http://schemas.openxmlformats.org/officeDocument/2006/relationships/hyperlink" Target="http://eur-lex.europa.eu/legal-content/EN/TXT/?qid=1521804283817&amp;uri=CELEX:32014L0091" TargetMode="External"/><Relationship Id="rId372" Type="http://schemas.openxmlformats.org/officeDocument/2006/relationships/hyperlink" Target="http://eur-lex.europa.eu/legal-content/EN/TXT/?qid=1521637423127&amp;uri=CELEX:62014TA0061" TargetMode="External"/><Relationship Id="rId393" Type="http://schemas.openxmlformats.org/officeDocument/2006/relationships/hyperlink" Target="http://eur-lex.europa.eu/legal-content/EN/TXT/?qid=1521638736725&amp;uri=CELEX:32014L0112" TargetMode="External"/><Relationship Id="rId407" Type="http://schemas.openxmlformats.org/officeDocument/2006/relationships/hyperlink" Target="http://eur-lex.europa.eu/legal-content/EN/TXT/?qid=1521804170378&amp;uri=CELEX:32014L0095" TargetMode="External"/><Relationship Id="rId428" Type="http://schemas.openxmlformats.org/officeDocument/2006/relationships/hyperlink" Target="https://eur-lex.europa.eu/legal-content/EN/TXT/?qid=1521815207378&amp;uri=CELEX:32014L0036" TargetMode="External"/><Relationship Id="rId449" Type="http://schemas.openxmlformats.org/officeDocument/2006/relationships/hyperlink" Target="https://eur-lex.europa.eu/legal-content/EN/TXT/?qid=1522067144005&amp;uri=CELEX:32015L2203" TargetMode="External"/><Relationship Id="rId211" Type="http://schemas.openxmlformats.org/officeDocument/2006/relationships/hyperlink" Target="http://curia.europa.eu/juris/liste.jsf?language=en&amp;jur=C,T,F&amp;num=C-403/16&amp;td=ALL" TargetMode="External"/><Relationship Id="rId232" Type="http://schemas.openxmlformats.org/officeDocument/2006/relationships/hyperlink" Target="http://europa.eu/rapid/press-release_MEMO-17-3494_en.htm" TargetMode="External"/><Relationship Id="rId253" Type="http://schemas.openxmlformats.org/officeDocument/2006/relationships/hyperlink" Target="http://eur-lex.europa.eu/legal-content/EN/TXT/?qid=1521800793069&amp;uri=CELEX:32000L0059" TargetMode="External"/><Relationship Id="rId274" Type="http://schemas.openxmlformats.org/officeDocument/2006/relationships/hyperlink" Target="http://eur-lex.europa.eu/legal-content/EN/TXT/?qid=1521801627495&amp;uri=CELEX:32003L0109" TargetMode="External"/><Relationship Id="rId295" Type="http://schemas.openxmlformats.org/officeDocument/2006/relationships/hyperlink" Target="http://eur-lex.europa.eu/legal-content/EN/TXT/?qid=1521801969776&amp;uri=CELEX:32015L0652" TargetMode="External"/><Relationship Id="rId309" Type="http://schemas.openxmlformats.org/officeDocument/2006/relationships/hyperlink" Target="http://eur-lex.europa.eu/legal-content/EN/TXT/?qid=1521802274201&amp;uri=CELEX:32014L0025" TargetMode="External"/><Relationship Id="rId460" Type="http://schemas.openxmlformats.org/officeDocument/2006/relationships/hyperlink" Target="https://eur-lex.europa.eu/legal-content/EN/TXT/?qid=1521710113476&amp;uri=CELEX:32014L0094" TargetMode="External"/><Relationship Id="rId27" Type="http://schemas.openxmlformats.org/officeDocument/2006/relationships/hyperlink" Target="http://europa.eu/rapid/press-release_MEMO-17-4767_en.htm" TargetMode="External"/><Relationship Id="rId48" Type="http://schemas.openxmlformats.org/officeDocument/2006/relationships/hyperlink" Target="http://curia.europa.eu/juris/fiche.jsf?id=C%3B235%3B17%3BRD%3B1%3BP%3B1%3BC2017%2F0235%2FP&amp;pro=&amp;lgrec=en&amp;nat=or&amp;oqp=&amp;dates=&amp;lg=&amp;language=en&amp;jur=C%2CT%2CF&amp;cit=none%252CC%252CCJ%252CR%252C2008E%252C%252C%252C%252C%252C%252C%252C%252C%252C%252Ctrue%252Cfalse%252Cfalse&amp;num=235%252F17&amp;td=%3BALL&amp;pcs=Oor&amp;avg=&amp;mat=or&amp;jge=&amp;for=&amp;cid=212219" TargetMode="External"/><Relationship Id="rId69" Type="http://schemas.openxmlformats.org/officeDocument/2006/relationships/hyperlink" Target="http://eur-lex.europa.eu/legal-content/AUTO/?uri=CELEX:32011L0076&amp;qid=1522066880775&amp;rid=1" TargetMode="External"/><Relationship Id="rId113" Type="http://schemas.openxmlformats.org/officeDocument/2006/relationships/hyperlink" Target="http://eur-lex.europa.eu/legal-content/EN/TXT/?qid=1521833103632&amp;uri=CELEX:32008L0057" TargetMode="External"/><Relationship Id="rId134" Type="http://schemas.openxmlformats.org/officeDocument/2006/relationships/hyperlink" Target="http://eur-lex.europa.eu/legal-content/EN/TXT/?qid=1521833553029&amp;uri=CELEX:31998L0070" TargetMode="External"/><Relationship Id="rId320" Type="http://schemas.openxmlformats.org/officeDocument/2006/relationships/hyperlink" Target="http://europa.eu/rapid/press-release_MEMO-17-1281_en.htm" TargetMode="External"/><Relationship Id="rId80" Type="http://schemas.openxmlformats.org/officeDocument/2006/relationships/hyperlink" Target="https://eur-lex.europa.eu/legal-content/EN/TXT/?qid=1521717781508&amp;uri=CELEX:32008L0056" TargetMode="External"/><Relationship Id="rId155" Type="http://schemas.openxmlformats.org/officeDocument/2006/relationships/hyperlink" Target="http://europa.eu/rapid/search-result.htm?text=IP%2F17%2F3186+&amp;titleOnly=0&amp;textMatch=all&amp;page=1&amp;format=HTML&amp;size=10&amp;locale=EN" TargetMode="External"/><Relationship Id="rId176" Type="http://schemas.openxmlformats.org/officeDocument/2006/relationships/hyperlink" Target="http://curia.europa.eu/juris/liste.jsf?language=en&amp;jur=C,T,F&amp;num=C-715/17&amp;td=ALL" TargetMode="External"/><Relationship Id="rId197" Type="http://schemas.openxmlformats.org/officeDocument/2006/relationships/hyperlink" Target="http://eur-lex.europa.eu/legal-content/EN/TXT/?qid=1521726500980&amp;uri=CELEX:32013L0050http://eur-lex.europa.eu/legal-content/EN/TXT/?qid=1521726500980&amp;uri=CELEX:32013L0050" TargetMode="External"/><Relationship Id="rId341" Type="http://schemas.openxmlformats.org/officeDocument/2006/relationships/hyperlink" Target="https://eur-lex.europa.eu/legal-content/EN/TXT/?qid=1521717677904&amp;uri=CELEX:32007L0060" TargetMode="External"/><Relationship Id="rId362" Type="http://schemas.openxmlformats.org/officeDocument/2006/relationships/hyperlink" Target="http://curia.europa.eu/juris/liste.jsf?language=en&amp;jur=C,T,F&amp;num=C-578/16&amp;td=ALL" TargetMode="External"/><Relationship Id="rId383" Type="http://schemas.openxmlformats.org/officeDocument/2006/relationships/hyperlink" Target="http://curia.europa.eu/juris/liste.jsf?language=en&amp;jur=C,T,F&amp;num=C-643/15&amp;td=ALL" TargetMode="External"/><Relationship Id="rId418" Type="http://schemas.openxmlformats.org/officeDocument/2006/relationships/hyperlink" Target="https://eur-lex.europa.eu/legal-content/EN/TXT/?qid=1521710113476&amp;uri=CELEX:32014L0094" TargetMode="External"/><Relationship Id="rId439" Type="http://schemas.openxmlformats.org/officeDocument/2006/relationships/hyperlink" Target="http://eur-lex.europa.eu/legal-content/EN/TXT/?qid=1521726408366&amp;uri=CELEX:32013L0034" TargetMode="External"/><Relationship Id="rId201" Type="http://schemas.openxmlformats.org/officeDocument/2006/relationships/hyperlink" Target="http://eur-lex.europa.eu/legal-content/EN/TXT/?qid=1521834216991&amp;uri=CELEX:32012L0034" TargetMode="External"/><Relationship Id="rId222" Type="http://schemas.openxmlformats.org/officeDocument/2006/relationships/hyperlink" Target="http://europa.eu/rapid/press-release_MEMO-17-1045_en.htm" TargetMode="External"/><Relationship Id="rId243" Type="http://schemas.openxmlformats.org/officeDocument/2006/relationships/hyperlink" Target="http://eur-lex.europa.eu/legal-content/EN/TXT/?qid=1521800340327&amp;uri=CELEX:32015L2203" TargetMode="External"/><Relationship Id="rId264" Type="http://schemas.openxmlformats.org/officeDocument/2006/relationships/hyperlink" Target="http://curia.europa.eu/juris/liste.jsf?language=en&amp;jur=C,T,F&amp;num=C-21/16&amp;td=ALL" TargetMode="External"/><Relationship Id="rId285" Type="http://schemas.openxmlformats.org/officeDocument/2006/relationships/hyperlink" Target="http://europa.eu/rapid/press-release_MEMO-17-3494_en.htm" TargetMode="External"/><Relationship Id="rId450" Type="http://schemas.openxmlformats.org/officeDocument/2006/relationships/hyperlink" Target="https://eur-lex.europa.eu/legal-content/EN/TXT/?qid=1522068363711&amp;uri=CELEX:31989R1552" TargetMode="External"/><Relationship Id="rId471" Type="http://schemas.openxmlformats.org/officeDocument/2006/relationships/hyperlink" Target="https://curia.europa.eu/jcms/upload/docs/application/pdf/2017-11/cp170121en.pdf" TargetMode="External"/><Relationship Id="rId17" Type="http://schemas.openxmlformats.org/officeDocument/2006/relationships/hyperlink" Target="http://eur-lex.europa.eu/legal-content/EN/TXT/?qid=1521726500980&amp;uri=CELEX:32013L0050" TargetMode="External"/><Relationship Id="rId38" Type="http://schemas.openxmlformats.org/officeDocument/2006/relationships/hyperlink" Target="http://europa.eu/rapid/press-release_IP-17-5004_en.htm" TargetMode="External"/><Relationship Id="rId59" Type="http://schemas.openxmlformats.org/officeDocument/2006/relationships/hyperlink" Target="http://europa.eu/rapid/search-result.htm?quickSearch=1&amp;text=IP%2F17%2F5002" TargetMode="External"/><Relationship Id="rId103" Type="http://schemas.openxmlformats.org/officeDocument/2006/relationships/hyperlink" Target="http://europa.eu/rapid/press-release_MEMO-17-1281_en.htm" TargetMode="External"/><Relationship Id="rId124" Type="http://schemas.openxmlformats.org/officeDocument/2006/relationships/hyperlink" Target="http://curia.europa.eu/juris/liste.jsf?language=en&amp;jur=C,T,F&amp;num=C-59/16&amp;td=ALL" TargetMode="External"/><Relationship Id="rId310" Type="http://schemas.openxmlformats.org/officeDocument/2006/relationships/hyperlink" Target="http://eur-lex.europa.eu/legal-content/EN/TXT/?qid=1521802334011&amp;uri=CELEX:32011L0076" TargetMode="External"/><Relationship Id="rId70" Type="http://schemas.openxmlformats.org/officeDocument/2006/relationships/hyperlink" Target="http://curia.europa.eu/juris/liste.jsf?language=en&amp;jur=C,T,F&amp;num=497/15&amp;td=ALL" TargetMode="External"/><Relationship Id="rId91" Type="http://schemas.openxmlformats.org/officeDocument/2006/relationships/hyperlink" Target="http://eur-lex.europa.eu/legal-content/AUTO/?uri=CELEX:32014L0049&amp;qid=1522068514052&amp;rid=1" TargetMode="External"/><Relationship Id="rId145" Type="http://schemas.openxmlformats.org/officeDocument/2006/relationships/hyperlink" Target="http://eur-lex.europa.eu/legal-content/EN/TXT/?qid=1521726342201&amp;uri=CELEX:32014L0051" TargetMode="External"/><Relationship Id="rId166" Type="http://schemas.openxmlformats.org/officeDocument/2006/relationships/hyperlink" Target="http://curia.europa.eu/juris/liste.jsf?language=en&amp;jur=C,T,F&amp;num=C-356/13&amp;td=ALL" TargetMode="External"/><Relationship Id="rId187" Type="http://schemas.openxmlformats.org/officeDocument/2006/relationships/hyperlink" Target="https://curia.europa.eu/jcms/upload/docs/application/pdf/2017-11/cp170122en.pdf" TargetMode="External"/><Relationship Id="rId331" Type="http://schemas.openxmlformats.org/officeDocument/2006/relationships/hyperlink" Target="http://eur-lex.europa.eu/legal-content/EN/TXT/?qid=1521803675119&amp;uri=CELEX:32014L0056" TargetMode="External"/><Relationship Id="rId352" Type="http://schemas.openxmlformats.org/officeDocument/2006/relationships/hyperlink" Target="http://eur-lex.europa.eu/legal-content/EN/TXT/?qid=1521804320586&amp;uri=CELEX:32013L0050" TargetMode="External"/><Relationship Id="rId373" Type="http://schemas.openxmlformats.org/officeDocument/2006/relationships/hyperlink" Target="http://curia.europa.eu/juris/liste.jsf?pro=&amp;nat=or&amp;oqp=&amp;dates=&amp;lg=&amp;language=en&amp;jur=C%2CT%2CF&amp;cit=none%252CC%252CCJ%252CR%252C2008E%252C%252C%252C%252C%252C%252C%252C%252C%252C%252Ctrue%252Cfalse%252Cfalse&amp;num=C-605%252F17&amp;td=%3BALL&amp;pcs=Oor&amp;avg=&amp;page=1&amp;mat=or&amp;jge=&amp;for=&amp;cid=229068" TargetMode="External"/><Relationship Id="rId394" Type="http://schemas.openxmlformats.org/officeDocument/2006/relationships/hyperlink" Target="https://eur-lex.europa.eu/legal-content/EN/TXT/?qid=1521804065893&amp;uri=CELEX:32015L0849" TargetMode="External"/><Relationship Id="rId408" Type="http://schemas.openxmlformats.org/officeDocument/2006/relationships/hyperlink" Target="http://eur-lex.europa.eu/legal-content/EN/TXT/?qid=1521800610791&amp;uri=CELEX:32014L0029" TargetMode="External"/><Relationship Id="rId429" Type="http://schemas.openxmlformats.org/officeDocument/2006/relationships/hyperlink" Target="http://europa.eu/rapid/press-release_MEMO-17-3494_en.htm" TargetMode="External"/><Relationship Id="rId1" Type="http://schemas.openxmlformats.org/officeDocument/2006/relationships/hyperlink" Target="https://eur-lex.europa.eu/legal-content/AUTO/?uri=CELEX:32015L2203&amp;qid=1522056995053&amp;rid=1" TargetMode="External"/><Relationship Id="rId212" Type="http://schemas.openxmlformats.org/officeDocument/2006/relationships/hyperlink" Target="http://eur-lex.europa.eu/legal-content/EN/TXT/?qid=1521639223499&amp;uri=CELEX:31998L0059" TargetMode="External"/><Relationship Id="rId233" Type="http://schemas.openxmlformats.org/officeDocument/2006/relationships/hyperlink" Target="http://europa.eu/rapid/press-release_MEMO-17-4767_en.htm" TargetMode="External"/><Relationship Id="rId254" Type="http://schemas.openxmlformats.org/officeDocument/2006/relationships/hyperlink" Target="http://eur-lex.europa.eu/legal-content/EN/TXT/?qid=1521800819760&amp;uri=CELEX:32014L0032" TargetMode="External"/><Relationship Id="rId440" Type="http://schemas.openxmlformats.org/officeDocument/2006/relationships/hyperlink" Target="http://curia.europa.eu/juris/liste.jsf?language=en&amp;jur=C,T,F&amp;num=C-203/15&amp;td=ALL" TargetMode="External"/><Relationship Id="rId28" Type="http://schemas.openxmlformats.org/officeDocument/2006/relationships/hyperlink" Target="https://eur-lex.europa.eu/legal-content/EN/TXT/?qid=1521726742344&amp;uri=CELEX:32002L0049" TargetMode="External"/><Relationship Id="rId49" Type="http://schemas.openxmlformats.org/officeDocument/2006/relationships/hyperlink" Target="http://curia.europa.eu/juris/liste.jsf?language=en&amp;jur=C,T,F&amp;num=52/16&amp;td=ALL" TargetMode="External"/><Relationship Id="rId114" Type="http://schemas.openxmlformats.org/officeDocument/2006/relationships/hyperlink" Target="http://europa.eu/rapid/press-release_IP-17-5109_en.htm" TargetMode="External"/><Relationship Id="rId275" Type="http://schemas.openxmlformats.org/officeDocument/2006/relationships/hyperlink" Target="http://eur-lex.europa.eu/legal-content/EN/TXT/?qid=1521801685468&amp;uri=CELEX:32003L0086" TargetMode="External"/><Relationship Id="rId296" Type="http://schemas.openxmlformats.org/officeDocument/2006/relationships/hyperlink" Target="http://eur-lex.europa.eu/legal-content/EN/TXT/?qid=1521801999716&amp;uri=CELEX:31998L0070" TargetMode="External"/><Relationship Id="rId300" Type="http://schemas.openxmlformats.org/officeDocument/2006/relationships/hyperlink" Target="http://curia.europa.eu/juris/liste.jsf?language=en&amp;jur=C,T,F&amp;num=,%20C-301/17&amp;td=ALL" TargetMode="External"/><Relationship Id="rId461" Type="http://schemas.openxmlformats.org/officeDocument/2006/relationships/hyperlink" Target="http://eur-lex.europa.eu/legal-content/EN/TXT/?qid=1521730329760&amp;uri=CELEX:32005L0036" TargetMode="External"/><Relationship Id="rId60" Type="http://schemas.openxmlformats.org/officeDocument/2006/relationships/hyperlink" Target="http://eur-lex.europa.eu/legal-content/AUTO/?uri=CELEX:32015D1601&amp;qid=1522066114194&amp;rid=1" TargetMode="External"/><Relationship Id="rId81" Type="http://schemas.openxmlformats.org/officeDocument/2006/relationships/hyperlink" Target="http://eur-lex.europa.eu/legal-content/EN/TXT/?qid=1522077640875&amp;uri=CELEX:32010L0031" TargetMode="External"/><Relationship Id="rId135" Type="http://schemas.openxmlformats.org/officeDocument/2006/relationships/hyperlink" Target="http://eur-lex.europa.eu/legal-content/EN/TXT/?qid=1521833576677&amp;uri=CELEX:32012L0018" TargetMode="External"/><Relationship Id="rId156" Type="http://schemas.openxmlformats.org/officeDocument/2006/relationships/hyperlink" Target="http://europa.eu/rapid/search-result.htm?text=IP%2F17%2F5367&amp;titleOnly=0&amp;textMatch=all&amp;page=1&amp;format=HTML&amp;size=10&amp;locale=EN" TargetMode="External"/><Relationship Id="rId177" Type="http://schemas.openxmlformats.org/officeDocument/2006/relationships/hyperlink" Target="http://europa.eu/rapid/search-result.htm?quickSearch=1&amp;text=IP%2F17%2F5002" TargetMode="External"/><Relationship Id="rId198" Type="http://schemas.openxmlformats.org/officeDocument/2006/relationships/hyperlink" Target="http://eur-lex.europa.eu/legal-content/EN/TXT/?qid=1521834128457&amp;uri=CELEX:32014L0049" TargetMode="External"/><Relationship Id="rId321" Type="http://schemas.openxmlformats.org/officeDocument/2006/relationships/hyperlink" Target="https://eur-lex.europa.eu/legal-content/EN/TXT/?qid=1521717641850&amp;uri=CELEX:32009L0147" TargetMode="External"/><Relationship Id="rId342" Type="http://schemas.openxmlformats.org/officeDocument/2006/relationships/hyperlink" Target="https://eur-lex.europa.eu/legal-content/EN/TXT/?qid=1521717781508&amp;uri=CELEX:32008L0056" TargetMode="External"/><Relationship Id="rId363" Type="http://schemas.openxmlformats.org/officeDocument/2006/relationships/hyperlink" Target="http://eur-lex.europa.eu/legal-content/EN/TXT/?qid=1521535927288&amp;uri=CELEX:32014R0210" TargetMode="External"/><Relationship Id="rId384" Type="http://schemas.openxmlformats.org/officeDocument/2006/relationships/hyperlink" Target="https://curia.europa.eu/jcms/upload/docs/application/pdf/2017-09/cp170091en.pdf" TargetMode="External"/><Relationship Id="rId419" Type="http://schemas.openxmlformats.org/officeDocument/2006/relationships/hyperlink" Target="http://curia.europa.eu/juris/liste.jsf?language=en&amp;jur=C,T,F&amp;num=C-175/16&amp;td=ALL" TargetMode="External"/><Relationship Id="rId202" Type="http://schemas.openxmlformats.org/officeDocument/2006/relationships/hyperlink" Target="http://eur-lex.europa.eu/legal-content/EN/TXT/?qid=1521834246522&amp;uri=CELEX:32014L0028" TargetMode="External"/><Relationship Id="rId223" Type="http://schemas.openxmlformats.org/officeDocument/2006/relationships/hyperlink" Target="http://europa.eu/rapid/press-release_MEMO-17-3494_en.htm" TargetMode="External"/><Relationship Id="rId244" Type="http://schemas.openxmlformats.org/officeDocument/2006/relationships/hyperlink" Target="http://eur-lex.europa.eu/legal-content/EN/TXT/?qid=1521800440266&amp;uri=CELEX:32011L0095" TargetMode="External"/><Relationship Id="rId430" Type="http://schemas.openxmlformats.org/officeDocument/2006/relationships/hyperlink" Target="http://europa.eu/rapid/press-release_MEMO-17-1935_en.htm" TargetMode="External"/><Relationship Id="rId18" Type="http://schemas.openxmlformats.org/officeDocument/2006/relationships/hyperlink" Target="http://eur-lex.europa.eu/legal-content/EN/TXT/?qid=1521726408366&amp;uri=CELEX:32013L0034" TargetMode="External"/><Relationship Id="rId39" Type="http://schemas.openxmlformats.org/officeDocument/2006/relationships/hyperlink" Target="http://eur-lex.europa.eu/legal-content/EN/TXT/?uri=OJ%3AJOL_2015_239_R_0011" TargetMode="External"/><Relationship Id="rId265" Type="http://schemas.openxmlformats.org/officeDocument/2006/relationships/hyperlink" Target="http://curia.europa.eu/juris/liste.jsf?language=en&amp;jur=C,T,F&amp;num=C-306/16&amp;td=ALL" TargetMode="External"/><Relationship Id="rId286" Type="http://schemas.openxmlformats.org/officeDocument/2006/relationships/hyperlink" Target="http://eur-lex.europa.eu/legal-content/EN/TXT/?qid=1521801773484&amp;uri=CELEX:32012L0034" TargetMode="External"/><Relationship Id="rId451" Type="http://schemas.openxmlformats.org/officeDocument/2006/relationships/hyperlink" Target="http://curia.europa.eu/juris/liste.jsf?pro=&amp;nat=or&amp;oqp=&amp;dates=&amp;lg=&amp;language=en&amp;jur=C%2CT%2CF&amp;cit=none%252CC%252CCJ%252CR%252C2008E%252C%252C%252C%252C%252C%252C%252C%252C%252C%252Ctrue%252Cfalse%252Cfalse&amp;num=C-391%252F17&amp;td=%3BALL&amp;pcs=Oor&amp;avg=&amp;page=1&amp;mat=or&amp;jge=&amp;for=&amp;cid=217492" TargetMode="External"/><Relationship Id="rId472" Type="http://schemas.openxmlformats.org/officeDocument/2006/relationships/hyperlink" Target="http://curia.europa.eu/juris/liste.jsf?pro=&amp;nat=or&amp;oqp=&amp;dates=&amp;lg=&amp;language=en&amp;jur=C%2CT%2CF&amp;cit=none%252CC%252CCJ%252CR%252C2008E%252C%252C%252C%252C%252C%252C%252C%252C%252C%252Ctrue%252Cfalse%252Cfalse&amp;num=C-646%252F15&amp;td=%3BALL&amp;pcs=Oor&amp;avg=&amp;page=1&amp;mat=or&amp;jge=&amp;for=&amp;cid=210480" TargetMode="External"/><Relationship Id="rId50" Type="http://schemas.openxmlformats.org/officeDocument/2006/relationships/hyperlink" Target="http://europa.eu/rapid/search-result.htm?quickSearch=1&amp;text=IP%2F16%2F2102" TargetMode="External"/><Relationship Id="rId104" Type="http://schemas.openxmlformats.org/officeDocument/2006/relationships/hyperlink" Target="http://eur-lex.europa.eu/legal-content/EN/TXT/?qid=1521832932468&amp;uri=CELEX:31989R1552" TargetMode="External"/><Relationship Id="rId125" Type="http://schemas.openxmlformats.org/officeDocument/2006/relationships/hyperlink" Target="http://curia.europa.eu/juris/liste.jsf?language=en&amp;jur=C,T,F&amp;num=C-435/15&amp;td=ALL" TargetMode="External"/><Relationship Id="rId146" Type="http://schemas.openxmlformats.org/officeDocument/2006/relationships/hyperlink" Target="http://eur-lex.europa.eu/legal-content/EN/TXT/?qid=1521833672152&amp;uri=CELEX:32014L0095" TargetMode="External"/><Relationship Id="rId167" Type="http://schemas.openxmlformats.org/officeDocument/2006/relationships/hyperlink" Target="http://eur-lex.europa.eu/legal-content/EN/TXT/?qid=1521834628303&amp;uri=CELEX:31993L0083" TargetMode="External"/><Relationship Id="rId188" Type="http://schemas.openxmlformats.org/officeDocument/2006/relationships/hyperlink" Target="https://ec.europa.eu/home-affairs/sites/homeaffairs/files/e-library/documents/policies/borders-and-visas/document-security/docs/comm_decision_c_2013_6181_en_.pdf" TargetMode="External"/><Relationship Id="rId311" Type="http://schemas.openxmlformats.org/officeDocument/2006/relationships/hyperlink" Target="http://eur-lex.europa.eu/legal-content/EN/TXT/?qid=1521802369700&amp;uri=CELEX:32009L0138" TargetMode="External"/><Relationship Id="rId332" Type="http://schemas.openxmlformats.org/officeDocument/2006/relationships/hyperlink" Target="http://eur-lex.europa.eu/legal-content/EN/TXT/?qid=1521649763709&amp;uri=CELEX:32014L0065" TargetMode="External"/><Relationship Id="rId353" Type="http://schemas.openxmlformats.org/officeDocument/2006/relationships/hyperlink" Target="http://eur-lex.europa.eu/legal-content/EN/TXT/?qid=1521730329760&amp;uri=CELEX:32005L0036" TargetMode="External"/><Relationship Id="rId374" Type="http://schemas.openxmlformats.org/officeDocument/2006/relationships/hyperlink" Target="http://europa.eu/rapid/press-release_IP-17-1937_en.htm" TargetMode="External"/><Relationship Id="rId395" Type="http://schemas.openxmlformats.org/officeDocument/2006/relationships/hyperlink" Target="https://eur-lex.europa.eu/legal-content/EN/TXT/?qid=1521815099991&amp;uri=CELEX:32015L0652" TargetMode="External"/><Relationship Id="rId409" Type="http://schemas.openxmlformats.org/officeDocument/2006/relationships/hyperlink" Target="https://eur-lex.europa.eu/legal-content/EN/TXT/?qid=1522073444657&amp;uri=CELEX:32014L0033" TargetMode="External"/><Relationship Id="rId71" Type="http://schemas.openxmlformats.org/officeDocument/2006/relationships/hyperlink" Target="http://curia.europa.eu/juris/liste.jsf?language=en&amp;jur=C,T,F&amp;num=498/15&amp;td=ALL" TargetMode="External"/><Relationship Id="rId92" Type="http://schemas.openxmlformats.org/officeDocument/2006/relationships/hyperlink" Target="https://eur-lex.europa.eu/legal-content/EN/TXT/?qid=1521717781508&amp;uri=CELEX:32008L0056" TargetMode="External"/><Relationship Id="rId213" Type="http://schemas.openxmlformats.org/officeDocument/2006/relationships/hyperlink" Target="http://curia.europa.eu/juris/liste.jsf?language=en&amp;jur=C,T,F&amp;num=C-149/16&amp;td=ALL" TargetMode="External"/><Relationship Id="rId234" Type="http://schemas.openxmlformats.org/officeDocument/2006/relationships/hyperlink" Target="http://eur-lex.europa.eu/legal-content/EN/TXT/?qid=1521799311158&amp;uri=CELEX:32006L0126" TargetMode="External"/><Relationship Id="rId420" Type="http://schemas.openxmlformats.org/officeDocument/2006/relationships/hyperlink" Target="http://curia.europa.eu/juris/liste.jsf?language=en&amp;jur=C,T,F&amp;num=C-368/15&amp;td=ALL" TargetMode="External"/><Relationship Id="rId2" Type="http://schemas.openxmlformats.org/officeDocument/2006/relationships/hyperlink" Target="https://eur-lex.europa.eu/legal-content/EN/TXT/?qid=1521804065893&amp;uri=CELEX:32015L0849" TargetMode="External"/><Relationship Id="rId29" Type="http://schemas.openxmlformats.org/officeDocument/2006/relationships/hyperlink" Target="http://europa.eu/rapid/press-release_MEMO-17-234_en.htm" TargetMode="External"/><Relationship Id="rId255" Type="http://schemas.openxmlformats.org/officeDocument/2006/relationships/hyperlink" Target="http://eur-lex.europa.eu/legal-content/EN/TXT/?qid=1521800894679&amp;uri=CELEX:32011L0007" TargetMode="External"/><Relationship Id="rId276" Type="http://schemas.openxmlformats.org/officeDocument/2006/relationships/hyperlink" Target="http://europa.eu/rapid/press-release_MEMO-17-4767_en.htm" TargetMode="External"/><Relationship Id="rId297" Type="http://schemas.openxmlformats.org/officeDocument/2006/relationships/hyperlink" Target="http://eur-lex.europa.eu/legal-content/EN/TXT/?qid=1521638778501&amp;uri=CELEX:32015L1794" TargetMode="External"/><Relationship Id="rId441" Type="http://schemas.openxmlformats.org/officeDocument/2006/relationships/hyperlink" Target="http://curia.europa.eu/juris/liste.jsf?language=en&amp;jur=C,T,F&amp;num=C-698/15&amp;td=ALL" TargetMode="External"/><Relationship Id="rId462" Type="http://schemas.openxmlformats.org/officeDocument/2006/relationships/hyperlink" Target="https://eur-lex.europa.eu/legal-content/EN/TXT/?qid=1521710113476&amp;uri=CELEX:32014L0094" TargetMode="External"/><Relationship Id="rId40" Type="http://schemas.openxmlformats.org/officeDocument/2006/relationships/hyperlink" Target="http://eur-lex.europa.eu/legal-content/en/TXT/?uri=CELEX%3A32015D1601" TargetMode="External"/><Relationship Id="rId115" Type="http://schemas.openxmlformats.org/officeDocument/2006/relationships/hyperlink" Target="http://eur-lex.europa.eu/legal-content/EN/TXT/?qid=1521833158097&amp;uri=CELEX:32004L0049" TargetMode="External"/><Relationship Id="rId136" Type="http://schemas.openxmlformats.org/officeDocument/2006/relationships/hyperlink" Target="https://eur-lex.europa.eu/legal-content/EN/TXT/?qid=1528209985008&amp;uri=CELEX:32014L0087" TargetMode="External"/><Relationship Id="rId157" Type="http://schemas.openxmlformats.org/officeDocument/2006/relationships/hyperlink" Target="http://eur-lex.europa.eu/legal-content/EN/TXT/?qid=1521835000874&amp;uri=CELEX:32009L0028" TargetMode="External"/><Relationship Id="rId178" Type="http://schemas.openxmlformats.org/officeDocument/2006/relationships/hyperlink" Target="http://eur-lex.europa.eu/legal-content/EN/TXT/?qid=1521834888272&amp;uri=CELEX:31996L0053" TargetMode="External"/><Relationship Id="rId301" Type="http://schemas.openxmlformats.org/officeDocument/2006/relationships/hyperlink" Target="http://europa.eu/rapid/press-release_IP-17-237_en.htm" TargetMode="External"/><Relationship Id="rId322" Type="http://schemas.openxmlformats.org/officeDocument/2006/relationships/hyperlink" Target="https://eur-lex.europa.eu/legal-content/EN/TXT/?qid=1521717571342&amp;uri=CELEX:31992L0043" TargetMode="External"/><Relationship Id="rId343" Type="http://schemas.openxmlformats.org/officeDocument/2006/relationships/hyperlink" Target="http://eur-lex.europa.eu/legal-content/EN/TXT/?qid=1521804577593&amp;uri=CELEX:32012R0748" TargetMode="External"/><Relationship Id="rId364" Type="http://schemas.openxmlformats.org/officeDocument/2006/relationships/hyperlink" Target="http://europa.eu/rapid/press-release_MEMO-17-3494_en.htm" TargetMode="External"/><Relationship Id="rId61" Type="http://schemas.openxmlformats.org/officeDocument/2006/relationships/hyperlink" Target="http://europa.eu/rapid/search-result.htm?quickSearch=1&amp;text=IP%2F17%2F5002" TargetMode="External"/><Relationship Id="rId82" Type="http://schemas.openxmlformats.org/officeDocument/2006/relationships/hyperlink" Target="http://europa.eu/rapid/press-release_MEMO-17-4767_en.htm" TargetMode="External"/><Relationship Id="rId199" Type="http://schemas.openxmlformats.org/officeDocument/2006/relationships/hyperlink" Target="http://eur-lex.europa.eu/legal-content/EN/TXT/?qid=1521834162639&amp;uri=CELEX:32014L0059" TargetMode="External"/><Relationship Id="rId203" Type="http://schemas.openxmlformats.org/officeDocument/2006/relationships/hyperlink" Target="http://curia.europa.eu/juris/liste.jsf?language=en&amp;jur=C,T,F&amp;num=C-441/17&amp;td=ALL" TargetMode="External"/><Relationship Id="rId385" Type="http://schemas.openxmlformats.org/officeDocument/2006/relationships/hyperlink" Target="http://curia.europa.eu/juris/liste.jsf?pro=&amp;nat=or&amp;oqp=&amp;dates=&amp;lg=&amp;language=en&amp;jur=C%2CT%2CF&amp;cit=none%252CC%252CCJ%252CR%252C2008E%252C%252C%252C%252C%252C%252C%252C%252C%252C%252Ctrue%252Cfalse%252Cfalse&amp;num=C-593%252F15&amp;td=%3BALL&amp;pcs=Oor&amp;avg=&amp;page=1&amp;mat=or&amp;jge=&amp;for=&amp;cid=229068" TargetMode="External"/><Relationship Id="rId19" Type="http://schemas.openxmlformats.org/officeDocument/2006/relationships/hyperlink" Target="https://eur-lex.europa.eu/legal-content/EN/TXT/?qid=1521820182588&amp;uri=CELEX:32004L0049" TargetMode="External"/><Relationship Id="rId224" Type="http://schemas.openxmlformats.org/officeDocument/2006/relationships/hyperlink" Target="https://eur-lex.europa.eu/legal-content/EN/TXT/?qid=1521717677904&amp;uri=CELEX:32007L0060" TargetMode="External"/><Relationship Id="rId245" Type="http://schemas.openxmlformats.org/officeDocument/2006/relationships/hyperlink" Target="http://eur-lex.europa.eu/legal-content/EN/TXT/?qid=1521800487363&amp;uri=CELEX:32013L0055" TargetMode="External"/><Relationship Id="rId266" Type="http://schemas.openxmlformats.org/officeDocument/2006/relationships/hyperlink" Target="http://eur-lex.europa.eu/legal-content/EN/TXT/?qid=1521535748978&amp;uri=CELEX:32002L0021" TargetMode="External"/><Relationship Id="rId287" Type="http://schemas.openxmlformats.org/officeDocument/2006/relationships/hyperlink" Target="http://europa.eu/rapid/press-release_MEMO-17-4767_en.htm" TargetMode="External"/><Relationship Id="rId410" Type="http://schemas.openxmlformats.org/officeDocument/2006/relationships/hyperlink" Target="http://eur-lex.europa.eu/legal-content/EN/TXT/?qid=1521800690872&amp;uri=CELEX:32014L0035" TargetMode="External"/><Relationship Id="rId431" Type="http://schemas.openxmlformats.org/officeDocument/2006/relationships/hyperlink" Target="https://eur-lex.europa.eu/legal-content/EN/TXT/?qid=1521646095966&amp;uri=CELEX:32010L0031" TargetMode="External"/><Relationship Id="rId452" Type="http://schemas.openxmlformats.org/officeDocument/2006/relationships/hyperlink" Target="http://europa.eu/rapid/press-release_MEMO-16-3125_en.htm" TargetMode="External"/><Relationship Id="rId473" Type="http://schemas.openxmlformats.org/officeDocument/2006/relationships/hyperlink" Target="http://curia.europa.eu/juris/liste.jsf?language=en&amp;jur=C,T,F&amp;num=C-591/15&amp;td=ALL" TargetMode="External"/><Relationship Id="rId30" Type="http://schemas.openxmlformats.org/officeDocument/2006/relationships/hyperlink" Target="http://eur-lex.europa.eu/legal-content/EN/TXT/?qid=1521535748978&amp;uri=CELEX:32002L0021" TargetMode="External"/><Relationship Id="rId105" Type="http://schemas.openxmlformats.org/officeDocument/2006/relationships/hyperlink" Target="http://curia.europa.eu/juris/liste.jsf?language=en&amp;jur=C,T,F&amp;num=C-395/17&amp;td=ALL" TargetMode="External"/><Relationship Id="rId126" Type="http://schemas.openxmlformats.org/officeDocument/2006/relationships/hyperlink" Target="http://curia.europa.eu/juris/liste.jsf?language=en&amp;jur=C,T,F&amp;num=C-666/15&amp;td=ALL" TargetMode="External"/><Relationship Id="rId147" Type="http://schemas.openxmlformats.org/officeDocument/2006/relationships/hyperlink" Target="http://eur-lex.europa.eu/legal-content/EN/TXT/?qid=1521833700620&amp;uri=CELEX:32015L2087" TargetMode="External"/><Relationship Id="rId168" Type="http://schemas.openxmlformats.org/officeDocument/2006/relationships/hyperlink" Target="http://eur-lex.europa.eu/legal-content/EN/TXT/?qid=1521834669398&amp;uri=CELEX:32016L1034" TargetMode="External"/><Relationship Id="rId312" Type="http://schemas.openxmlformats.org/officeDocument/2006/relationships/hyperlink" Target="http://eur-lex.europa.eu/legal-content/EN/TXT/?qid=1521802567430&amp;uri=CELEX:32014L0051" TargetMode="External"/><Relationship Id="rId333" Type="http://schemas.openxmlformats.org/officeDocument/2006/relationships/hyperlink" Target="https://eur-lex.europa.eu/legal-content/EN/TXT/?qid=1521717466496&amp;uri=CELEX:31999L0031" TargetMode="External"/><Relationship Id="rId354" Type="http://schemas.openxmlformats.org/officeDocument/2006/relationships/hyperlink" Target="https://eur-lex.europa.eu/legal-content/EN/TXT/?qid=1521730122416&amp;uri=CELEX:32014L0080" TargetMode="External"/><Relationship Id="rId51" Type="http://schemas.openxmlformats.org/officeDocument/2006/relationships/hyperlink" Target="http://eur-lex.europa.eu/legal-content/AUTO/?uri=CELEX:32006L0123&amp;qid=1522067375393&amp;rid=1" TargetMode="External"/><Relationship Id="rId72" Type="http://schemas.openxmlformats.org/officeDocument/2006/relationships/hyperlink" Target="https://eur-lex.europa.eu/legal-content/EN/TXT/?qid=1521804065893&amp;uri=CELEX:32015L0849" TargetMode="External"/><Relationship Id="rId93" Type="http://schemas.openxmlformats.org/officeDocument/2006/relationships/hyperlink" Target="http://eur-lex.europa.eu/legal-content/EN/TXT/?qid=1521730329760&amp;uri=CELEX:32005L0036" TargetMode="External"/><Relationship Id="rId189" Type="http://schemas.openxmlformats.org/officeDocument/2006/relationships/hyperlink" Target="https://ec.europa.eu/home-affairs/sites/homeaffairs/files/e-library/documents/policies/borders-and-visas/document-security/docs/comm_decision_c_2013_6178_en.pdf" TargetMode="External"/><Relationship Id="rId375" Type="http://schemas.openxmlformats.org/officeDocument/2006/relationships/hyperlink" Target="http://eur-lex.europa.eu/legal-content/AUTO/?uri=CELEX:32014L0066&amp;qid=1522058487572&amp;rid=1" TargetMode="External"/><Relationship Id="rId396" Type="http://schemas.openxmlformats.org/officeDocument/2006/relationships/hyperlink" Target="https://eur-lex.europa.eu/legal-content/EN/TXT/?qid=1521813846684&amp;uri=CELEX:31998L0070" TargetMode="External"/><Relationship Id="rId3" Type="http://schemas.openxmlformats.org/officeDocument/2006/relationships/hyperlink" Target="http://europa.eu/rapid/press-release_MEMO-17-4767_en.htm" TargetMode="External"/><Relationship Id="rId214" Type="http://schemas.openxmlformats.org/officeDocument/2006/relationships/hyperlink" Target="http://curia.europa.eu/juris/liste.jsf?language=en&amp;jur=C,T,F&amp;num=C-429/16&amp;td=ALL" TargetMode="External"/><Relationship Id="rId235" Type="http://schemas.openxmlformats.org/officeDocument/2006/relationships/hyperlink" Target="http://curia.europa.eu/juris/liste.jsf?language=en&amp;jur=C,T,F&amp;num=C-170/17&amp;td=ALL" TargetMode="External"/><Relationship Id="rId256" Type="http://schemas.openxmlformats.org/officeDocument/2006/relationships/hyperlink" Target="http://europa.eu/rapid/press-release_IP-17-239_en.htm" TargetMode="External"/><Relationship Id="rId277" Type="http://schemas.openxmlformats.org/officeDocument/2006/relationships/hyperlink" Target="http://europa.eu/rapid/press-release_MEMO-17-1936_en.htm" TargetMode="External"/><Relationship Id="rId298" Type="http://schemas.openxmlformats.org/officeDocument/2006/relationships/hyperlink" Target="http://eur-lex.europa.eu/legal-content/EN/TXT/?qid=1521638736725&amp;uri=CELEX:32014L0112" TargetMode="External"/><Relationship Id="rId400" Type="http://schemas.openxmlformats.org/officeDocument/2006/relationships/hyperlink" Target="http://europa.eu/rapid/press-release_MEMO-17-1935_en.htm" TargetMode="External"/><Relationship Id="rId421" Type="http://schemas.openxmlformats.org/officeDocument/2006/relationships/hyperlink" Target="http://europa.eu/rapid/press-release_MEMO-17-1281_en.htm" TargetMode="External"/><Relationship Id="rId442" Type="http://schemas.openxmlformats.org/officeDocument/2006/relationships/hyperlink" Target="http://curia.europa.eu/juris/liste.jsf?language=en&amp;jur=C,T,F&amp;num=C-549/15&amp;td=ALL" TargetMode="External"/><Relationship Id="rId463" Type="http://schemas.openxmlformats.org/officeDocument/2006/relationships/hyperlink" Target="http://eur-lex.europa.eu/legal-content/EN/TXT/?qid=1521726342201&amp;uri=CELEX:32014L0051" TargetMode="External"/><Relationship Id="rId116" Type="http://schemas.openxmlformats.org/officeDocument/2006/relationships/hyperlink" Target="http://eur-lex.europa.eu/legal-content/EN/TXT/?qid=1521833188691&amp;uri=CELEX:32006R1082" TargetMode="External"/><Relationship Id="rId137" Type="http://schemas.openxmlformats.org/officeDocument/2006/relationships/hyperlink" Target="https://eur-lex.europa.eu/legal-content/EN/TXT/?qid=1521645914219&amp;uri=CELEX:32011L0070" TargetMode="External"/><Relationship Id="rId158" Type="http://schemas.openxmlformats.org/officeDocument/2006/relationships/hyperlink" Target="http://europa.eu/rapid/press-release_MEMO-17-1045_en.htm" TargetMode="External"/><Relationship Id="rId302" Type="http://schemas.openxmlformats.org/officeDocument/2006/relationships/hyperlink" Target="https://eur-lex.europa.eu/legal-content/EN/TXT/?qid=1521717781508&amp;uri=CELEX:32008L0056" TargetMode="External"/><Relationship Id="rId323" Type="http://schemas.openxmlformats.org/officeDocument/2006/relationships/hyperlink" Target="http://europa.eu/rapid/press-release_MEMO-17-3494_en.htm" TargetMode="External"/><Relationship Id="rId344" Type="http://schemas.openxmlformats.org/officeDocument/2006/relationships/hyperlink" Target="http://eur-lex.europa.eu/legal-content/EN/TXT/?qid=1521804653819&amp;uri=CELEX:32014R1321" TargetMode="External"/><Relationship Id="rId20" Type="http://schemas.openxmlformats.org/officeDocument/2006/relationships/hyperlink" Target="https://eur-lex.europa.eu/legal-content/EN/TXT/?qid=1521712009861&amp;uri=CELEX:32006L0126" TargetMode="External"/><Relationship Id="rId41" Type="http://schemas.openxmlformats.org/officeDocument/2006/relationships/hyperlink" Target="http://europa.eu/rapid/press-release_IP-17-5002_en.htm" TargetMode="External"/><Relationship Id="rId62" Type="http://schemas.openxmlformats.org/officeDocument/2006/relationships/hyperlink" Target="http://eur-lex.europa.eu/legal-content/AUTO/?uri=CELEX:32015D1601&amp;qid=1522066114194&amp;rid=1" TargetMode="External"/><Relationship Id="rId83" Type="http://schemas.openxmlformats.org/officeDocument/2006/relationships/hyperlink" Target="http://eur-lex.europa.eu/legal-content/AUTO/?uri=CELEX:32014L0024&amp;qid=1522068263520&amp;rid=1" TargetMode="External"/><Relationship Id="rId179" Type="http://schemas.openxmlformats.org/officeDocument/2006/relationships/hyperlink" Target="http://curia.europa.eu/juris/liste.jsf?language=en&amp;jur=C,T,F&amp;num=C-127/17&amp;td=ALL" TargetMode="External"/><Relationship Id="rId365" Type="http://schemas.openxmlformats.org/officeDocument/2006/relationships/hyperlink" Target="http://europa.eu/rapid/press-release_MEMO-17-3494_en.htm" TargetMode="External"/><Relationship Id="rId386" Type="http://schemas.openxmlformats.org/officeDocument/2006/relationships/hyperlink" Target="http://curia.europa.eu/juris/liste.jsf?pro=&amp;nat=or&amp;oqp=&amp;dates=&amp;lg=&amp;language=en&amp;jur=C%2CT%2CF&amp;cit=none%252CC%252CCJ%252CR%252C2008E%252C%252C%252C%252C%252C%252C%252C%252C%252C%252Ctrue%252Cfalse%252Cfalse&amp;num=C-594%252F15&amp;td=%3BALL&amp;pcs=Oor&amp;avg=&amp;page=1&amp;mat=or&amp;jge=&amp;for=&amp;cid=229068" TargetMode="External"/><Relationship Id="rId190" Type="http://schemas.openxmlformats.org/officeDocument/2006/relationships/hyperlink" Target="https://eur-lex.europa.eu/legal-content/EN/TXT/?qid=1521730122416&amp;uri=CELEX:32014L0080" TargetMode="External"/><Relationship Id="rId204" Type="http://schemas.openxmlformats.org/officeDocument/2006/relationships/hyperlink" Target="https://curia.europa.eu/jcms/upload/docs/application/pdf/2017-11/cp170122en.pdf" TargetMode="External"/><Relationship Id="rId225" Type="http://schemas.openxmlformats.org/officeDocument/2006/relationships/hyperlink" Target="https://eur-lex.europa.eu/legal-content/EN/TXT/?qid=1521726742344&amp;uri=CELEX:32002L0049" TargetMode="External"/><Relationship Id="rId246" Type="http://schemas.openxmlformats.org/officeDocument/2006/relationships/hyperlink" Target="http://eur-lex.europa.eu/legal-content/EN/TXT/?qid=1521800524980&amp;uri=CELEX:32015L0652" TargetMode="External"/><Relationship Id="rId267" Type="http://schemas.openxmlformats.org/officeDocument/2006/relationships/hyperlink" Target="http://europa.eu/rapid/press-release_MEMO-17-3494_en.htm" TargetMode="External"/><Relationship Id="rId288" Type="http://schemas.openxmlformats.org/officeDocument/2006/relationships/hyperlink" Target="http://europa.eu/rapid/press-release_MEMO-17-234_en.htm" TargetMode="External"/><Relationship Id="rId411" Type="http://schemas.openxmlformats.org/officeDocument/2006/relationships/hyperlink" Target="https://eur-lex.europa.eu/legal-content/EN/TXT/?qid=1522073376827&amp;uri=CELEX:32014L0032" TargetMode="External"/><Relationship Id="rId432" Type="http://schemas.openxmlformats.org/officeDocument/2006/relationships/hyperlink" Target="http://europa.eu/rapid/press-release_IP-17-5109_en.htm" TargetMode="External"/><Relationship Id="rId453" Type="http://schemas.openxmlformats.org/officeDocument/2006/relationships/hyperlink" Target="https://eur-lex.europa.eu/legal-content/EN/TXT/?qid=1521729104609&amp;uri=CELEX:31992L0043" TargetMode="External"/><Relationship Id="rId474" Type="http://schemas.openxmlformats.org/officeDocument/2006/relationships/hyperlink" Target="http://curia.europa.eu/juris/liste.jsf?language=en&amp;jur=C,T,F&amp;num=C-164/16&amp;td=ALL" TargetMode="External"/><Relationship Id="rId106" Type="http://schemas.openxmlformats.org/officeDocument/2006/relationships/hyperlink" Target="http://europa.eu/rapid/press-release_MEMO-16-3125_en.htm" TargetMode="External"/><Relationship Id="rId127" Type="http://schemas.openxmlformats.org/officeDocument/2006/relationships/hyperlink" Target="http://curia.europa.eu/juris/liste.jsf?language=en&amp;jur=C,T,F&amp;num=C-51/16&amp;td=ALL" TargetMode="External"/><Relationship Id="rId313" Type="http://schemas.openxmlformats.org/officeDocument/2006/relationships/hyperlink" Target="http://eur-lex.europa.eu/legal-content/EN/TXT/?qid=1521802631593&amp;uri=CELEX:32013L0034" TargetMode="External"/><Relationship Id="rId10" Type="http://schemas.openxmlformats.org/officeDocument/2006/relationships/hyperlink" Target="http://europa.eu/rapid/press-release_MEMO-17-3494_fr.htm" TargetMode="External"/><Relationship Id="rId31" Type="http://schemas.openxmlformats.org/officeDocument/2006/relationships/hyperlink" Target="http://europa.eu/rapid/press-release_MEMO-17-3494_en.htm" TargetMode="External"/><Relationship Id="rId52" Type="http://schemas.openxmlformats.org/officeDocument/2006/relationships/hyperlink" Target="http://curia.europa.eu/juris/fiche.jsf?id=C%3B171%3B17%3BRD%3B1%3BP%3B1%3BC2017%2F0171%2FP&amp;pro=&amp;lgrec=en&amp;nat=or&amp;oqp=&amp;dates=&amp;lg=&amp;language=en&amp;jur=C%2CT%2CF&amp;cit=none%252CC%252CCJ%252CR%252C2008E%252C%252C%252C%252C%252C%252C%252C%252C%252C%252Ctrue%252Cfalse%252Cfalse&amp;num=171%252F17&amp;td=%3BALL&amp;pcs=Oor&amp;avg=&amp;mat=or&amp;jge=&amp;for=&amp;cid=211570" TargetMode="External"/><Relationship Id="rId73" Type="http://schemas.openxmlformats.org/officeDocument/2006/relationships/hyperlink" Target="http://europa.eu/rapid/press-release_MEMO-17-4767_en.htm" TargetMode="External"/><Relationship Id="rId94" Type="http://schemas.openxmlformats.org/officeDocument/2006/relationships/hyperlink" Target="http://eur-lex.europa.eu/legal-content/AUTO/?uri=CELEX:32013L0055&amp;qid=1522068563840&amp;rid=1" TargetMode="External"/><Relationship Id="rId148" Type="http://schemas.openxmlformats.org/officeDocument/2006/relationships/hyperlink" Target="http://eur-lex.europa.eu/legal-content/EN/TXT/?qid=1521833738967&amp;uri=CELEX:32000L0059" TargetMode="External"/><Relationship Id="rId169" Type="http://schemas.openxmlformats.org/officeDocument/2006/relationships/hyperlink" Target="http://eur-lex.europa.eu/legal-content/EN/TXT/?qid=1521834693583&amp;uri=CELEX:32014L0056" TargetMode="External"/><Relationship Id="rId334" Type="http://schemas.openxmlformats.org/officeDocument/2006/relationships/hyperlink" Target="http://curia.europa.eu/juris/liste.jsf?language=en&amp;jur=C,T,F&amp;num=C-506/17&amp;td=ALL" TargetMode="External"/><Relationship Id="rId355" Type="http://schemas.openxmlformats.org/officeDocument/2006/relationships/hyperlink" Target="http://eur-lex.europa.eu/legal-content/EN/TXT/?qid=1521804438564&amp;uri=CELEX:32006L0118" TargetMode="External"/><Relationship Id="rId376" Type="http://schemas.openxmlformats.org/officeDocument/2006/relationships/hyperlink" Target="http://europa.eu/rapid/press-release_MEMO-17-3494_en.htm" TargetMode="External"/><Relationship Id="rId397" Type="http://schemas.openxmlformats.org/officeDocument/2006/relationships/hyperlink" Target="http://eur-lex.europa.eu/legal-content/AUTO/?uri=CELEX:32014L0066&amp;qid=1522058487572&amp;rid=1" TargetMode="External"/><Relationship Id="rId4" Type="http://schemas.openxmlformats.org/officeDocument/2006/relationships/hyperlink" Target="http://eur-lex.europa.eu/legal-content/EN/TXT/?qid=1521649763709&amp;uri=CELEX:32014L0065" TargetMode="External"/><Relationship Id="rId180" Type="http://schemas.openxmlformats.org/officeDocument/2006/relationships/hyperlink" Target="http://europa.eu/rapid/search-result.htm?quickSearch=1&amp;text=IP%2F16%2F3649" TargetMode="External"/><Relationship Id="rId215" Type="http://schemas.openxmlformats.org/officeDocument/2006/relationships/hyperlink" Target="http://eur-lex.europa.eu/legal-content/EN/TXT/?qid=1521833915607&amp;uri=CELEX:32009R0810" TargetMode="External"/><Relationship Id="rId236" Type="http://schemas.openxmlformats.org/officeDocument/2006/relationships/hyperlink" Target="http://europa.eu/rapid/press-release_IP-17-241_en.htm" TargetMode="External"/><Relationship Id="rId257" Type="http://schemas.openxmlformats.org/officeDocument/2006/relationships/hyperlink" Target="https://eur-lex.europa.eu/legal-content/EN/TXT/?qid=1521645914219&amp;uri=CELEX:32011L0070" TargetMode="External"/><Relationship Id="rId278" Type="http://schemas.openxmlformats.org/officeDocument/2006/relationships/hyperlink" Target="http://europa.eu/rapid/press-release_MEMO-17-234_en.htm" TargetMode="External"/><Relationship Id="rId401" Type="http://schemas.openxmlformats.org/officeDocument/2006/relationships/hyperlink" Target="http://eur-lex.europa.eu/legal-content/EN/TXT/?qid=1521802115769&amp;uri=CELEX:32015L2203" TargetMode="External"/><Relationship Id="rId422" Type="http://schemas.openxmlformats.org/officeDocument/2006/relationships/hyperlink" Target="https://eur-lex.europa.eu/legal-content/EN/TXT/?qid=1521646324831&amp;uri=CELEX:32009L0072" TargetMode="External"/><Relationship Id="rId443" Type="http://schemas.openxmlformats.org/officeDocument/2006/relationships/hyperlink" Target="https://eur-lex.europa.eu/legal-content/EN/TXT/?qid=1521717808641&amp;uri=CELEX:32008L0050" TargetMode="External"/><Relationship Id="rId464" Type="http://schemas.openxmlformats.org/officeDocument/2006/relationships/hyperlink" Target="https://eur-lex.europa.eu/legal-content/EN/TXT/?qid=1522067072610&amp;uri=CELEX:32014L0059" TargetMode="External"/><Relationship Id="rId303" Type="http://schemas.openxmlformats.org/officeDocument/2006/relationships/hyperlink" Target="http://europa.eu/rapid/press-release_IP-17-5109_en.htm" TargetMode="External"/><Relationship Id="rId42" Type="http://schemas.openxmlformats.org/officeDocument/2006/relationships/hyperlink" Target="http://europa.eu/rapid/search-result.htm?quickSearch=1&amp;text=IP%2F17%2F5023" TargetMode="External"/><Relationship Id="rId84" Type="http://schemas.openxmlformats.org/officeDocument/2006/relationships/hyperlink" Target="http://eur-lex.europa.eu/legal-content/AUTO/?uri=CELEX:32014L0023&amp;qid=1522068311920&amp;rid=1" TargetMode="External"/><Relationship Id="rId138" Type="http://schemas.openxmlformats.org/officeDocument/2006/relationships/hyperlink" Target="http://europa.eu/rapid/press-release_MEMO-17-1935_en.htm" TargetMode="External"/><Relationship Id="rId345" Type="http://schemas.openxmlformats.org/officeDocument/2006/relationships/hyperlink" Target="https://eur-lex.europa.eu/legal-content/EN/TXT/?qid=1521712009861&amp;uri=CELEX:32006L0126" TargetMode="External"/><Relationship Id="rId387" Type="http://schemas.openxmlformats.org/officeDocument/2006/relationships/hyperlink" Target="http://eur-lex.europa.eu/legal-content/EN/TXT/?qid=1521639066519&amp;uri=CELEX:32004R0883" TargetMode="External"/><Relationship Id="rId191" Type="http://schemas.openxmlformats.org/officeDocument/2006/relationships/hyperlink" Target="https://eur-lex.europa.eu/legal-content/EN/TXT/?qid=1521730167006&amp;uri=CELEX:32006L0118" TargetMode="External"/><Relationship Id="rId205" Type="http://schemas.openxmlformats.org/officeDocument/2006/relationships/hyperlink" Target="http://curia.europa.eu/juris/liste.jsf?language=en&amp;jur=C,T,F&amp;num=C-4/16&amp;td=ALL" TargetMode="External"/><Relationship Id="rId247" Type="http://schemas.openxmlformats.org/officeDocument/2006/relationships/hyperlink" Target="http://eur-lex.europa.eu/legal-content/EN/TXT/?qid=1521800570701&amp;uri=CELEX:31998L0070" TargetMode="External"/><Relationship Id="rId412" Type="http://schemas.openxmlformats.org/officeDocument/2006/relationships/hyperlink" Target="http://eur-lex.europa.eu/legal-content/AUTO/?uri=CELEX:32014L0060&amp;qid=1522055908659&amp;rid=1" TargetMode="External"/><Relationship Id="rId107" Type="http://schemas.openxmlformats.org/officeDocument/2006/relationships/hyperlink" Target="http://eur-lex.europa.eu/legal-content/EN/TXT/?qid=1521730329760&amp;uri=CELEX:32005L0036" TargetMode="External"/><Relationship Id="rId289" Type="http://schemas.openxmlformats.org/officeDocument/2006/relationships/hyperlink" Target="http://eur-lex.europa.eu/legal-content/EN/TXT/?qid=1521800340327&amp;uri=CELEX:32015L2203" TargetMode="External"/><Relationship Id="rId454" Type="http://schemas.openxmlformats.org/officeDocument/2006/relationships/hyperlink" Target="http://curia.europa.eu/juris/liste.jsf?language=en&amp;jur=C,T,F&amp;num=C-669/16&amp;td=ALL" TargetMode="External"/><Relationship Id="rId11" Type="http://schemas.openxmlformats.org/officeDocument/2006/relationships/hyperlink" Target="https://eur-lex.europa.eu/legal-content/EN/TXT/?qid=1521730122416&amp;uri=CELEX:32014L0080" TargetMode="External"/><Relationship Id="rId53" Type="http://schemas.openxmlformats.org/officeDocument/2006/relationships/hyperlink" Target="http://europa.eu/rapid/search-result.htm?quickSearch=1&amp;text=IP%2F16%2F3646" TargetMode="External"/><Relationship Id="rId149" Type="http://schemas.openxmlformats.org/officeDocument/2006/relationships/hyperlink" Target="http://eur-lex.europa.eu/legal-content/EN/TXT/?qid=1521833761789&amp;uri=CELEX:32012L0034" TargetMode="External"/><Relationship Id="rId314" Type="http://schemas.openxmlformats.org/officeDocument/2006/relationships/hyperlink" Target="http://eur-lex.europa.eu/legal-content/EN/TXT/?qid=1521802685745&amp;uri=CELEX:32014L0095" TargetMode="External"/><Relationship Id="rId356" Type="http://schemas.openxmlformats.org/officeDocument/2006/relationships/hyperlink" Target="http://eur-lex.europa.eu/legal-content/EN/TXT/?qid=1521804492437&amp;uri=CELEX:32014L0049" TargetMode="External"/><Relationship Id="rId398" Type="http://schemas.openxmlformats.org/officeDocument/2006/relationships/hyperlink" Target="http://europa.eu/rapid/press-release_MEMO-17-3494_en.htm" TargetMode="External"/><Relationship Id="rId95" Type="http://schemas.openxmlformats.org/officeDocument/2006/relationships/hyperlink" Target="http://curia.europa.eu/juris/liste.jsf?language=en&amp;jur=C,T,F&amp;num=125/16&amp;td=ALL" TargetMode="External"/><Relationship Id="rId160" Type="http://schemas.openxmlformats.org/officeDocument/2006/relationships/hyperlink" Target="http://europa.eu/rapid/press-release_MEMO-17-3494_en.htm" TargetMode="External"/><Relationship Id="rId216" Type="http://schemas.openxmlformats.org/officeDocument/2006/relationships/hyperlink" Target="http://curia.europa.eu/juris/liste.jsf?language=en&amp;jur=C,T,F&amp;num=C-403/16&amp;td=ALL" TargetMode="External"/><Relationship Id="rId423" Type="http://schemas.openxmlformats.org/officeDocument/2006/relationships/hyperlink" Target="http://europa.eu/rapid/press-release_MEMO-17-4767_en.htm" TargetMode="External"/><Relationship Id="rId258" Type="http://schemas.openxmlformats.org/officeDocument/2006/relationships/hyperlink" Target="http://eur-lex.europa.eu/legal-content/EN/TXT/?qid=1487785667576&amp;uri=CELEX:32013L0051" TargetMode="External"/><Relationship Id="rId465" Type="http://schemas.openxmlformats.org/officeDocument/2006/relationships/hyperlink" Target="https://eur-lex.europa.eu/legal-content/EN/TXT/?qid=1521712009861&amp;uri=CELEX:32006L0126" TargetMode="External"/><Relationship Id="rId22" Type="http://schemas.openxmlformats.org/officeDocument/2006/relationships/hyperlink" Target="http://europa.eu/rapid/press-release_IP-14-161_en.htm" TargetMode="External"/><Relationship Id="rId64" Type="http://schemas.openxmlformats.org/officeDocument/2006/relationships/hyperlink" Target="https://curia.europa.eu/jcms/jcms/Jo2_7052/en/?types=com.jalios.jcms.Content&amp;typesOff=generated.RecueilPublication&amp;textSearch=true&amp;catName=true&amp;searchInFiles=true&amp;langs=user&amp;text=91%2F2017&amp;opSearch=Search&amp;csrftoken=eXybyksLgNzoleK0&amp;jsp=plugins%2FCuriaPlugin%2Fjsp%2Fquery.jsp" TargetMode="External"/><Relationship Id="rId118" Type="http://schemas.openxmlformats.org/officeDocument/2006/relationships/hyperlink" Target="http://curia.europa.eu/juris/liste.jsf?language=en&amp;jur=C,T,F&amp;num=C-133/15&amp;td=ALL" TargetMode="External"/><Relationship Id="rId325" Type="http://schemas.openxmlformats.org/officeDocument/2006/relationships/hyperlink" Target="https://eur-lex.europa.eu/legal-content/EN/TXT/?qid=1521717781508&amp;uri=CELEX:32008L0056" TargetMode="External"/><Relationship Id="rId367" Type="http://schemas.openxmlformats.org/officeDocument/2006/relationships/hyperlink" Target="http://europa.eu/rapid/press-release_MEMO-17-1577_en.htm" TargetMode="External"/><Relationship Id="rId171" Type="http://schemas.openxmlformats.org/officeDocument/2006/relationships/hyperlink" Target="http://europa.eu/rapid/press-release_MEMO-17-4767_en.htm" TargetMode="External"/><Relationship Id="rId227" Type="http://schemas.openxmlformats.org/officeDocument/2006/relationships/hyperlink" Target="http://eur-lex.europa.eu/legal-content/EN/TXT/?qid=1521799172848&amp;uri=CELEX:32011L0070" TargetMode="External"/><Relationship Id="rId269" Type="http://schemas.openxmlformats.org/officeDocument/2006/relationships/hyperlink" Target="http://europa.eu/rapid/press-release_MEMO-17-4767_en.htm" TargetMode="External"/><Relationship Id="rId434" Type="http://schemas.openxmlformats.org/officeDocument/2006/relationships/hyperlink" Target="https://eur-lex.europa.eu/legal-content/EN/TXT/?qid=1521713570449&amp;uri=CELEX:31996L0053" TargetMode="External"/><Relationship Id="rId476" Type="http://schemas.openxmlformats.org/officeDocument/2006/relationships/hyperlink" Target="http://curia.europa.eu/juris/liste.jsf?language=en&amp;jur=C,T,F&amp;num=C-214/16&amp;td=ALL" TargetMode="External"/><Relationship Id="rId33" Type="http://schemas.openxmlformats.org/officeDocument/2006/relationships/hyperlink" Target="https://eur-lex.europa.eu/legal-content/EN/TXT/?qid=1521646366481&amp;uri=CELEX:32009L0073" TargetMode="External"/><Relationship Id="rId129" Type="http://schemas.openxmlformats.org/officeDocument/2006/relationships/hyperlink" Target="http://curia.europa.eu/juris/liste.jsf?language=en&amp;jur=C,T,F&amp;num=C-126/16&amp;td=ALL" TargetMode="External"/><Relationship Id="rId280" Type="http://schemas.openxmlformats.org/officeDocument/2006/relationships/hyperlink" Target="http://europa.eu/rapid/press-release_MEMO-17-1577_en.htm" TargetMode="External"/><Relationship Id="rId336" Type="http://schemas.openxmlformats.org/officeDocument/2006/relationships/hyperlink" Target="http://eur-lex.europa.eu/legal-content/EN/TXT/?qid=1521803818118&amp;uri=CELEX:32011L0085" TargetMode="External"/><Relationship Id="rId75" Type="http://schemas.openxmlformats.org/officeDocument/2006/relationships/hyperlink" Target="http://eur-lex.europa.eu/legal-content/EN/TXT/?qid=1521649763709&amp;uri=CELEX:32014L0065" TargetMode="External"/><Relationship Id="rId140" Type="http://schemas.openxmlformats.org/officeDocument/2006/relationships/hyperlink" Target="https://eur-lex.europa.eu/legal-content/EN/TXT/?qid=1521717711169&amp;uri=CELEX:32000L0060" TargetMode="External"/><Relationship Id="rId182" Type="http://schemas.openxmlformats.org/officeDocument/2006/relationships/hyperlink" Target="https://eur-lex.europa.eu/legal-content/EN/TXT/?qid=1521728266601&amp;uri=CELEX:31992L0043" TargetMode="External"/><Relationship Id="rId378" Type="http://schemas.openxmlformats.org/officeDocument/2006/relationships/hyperlink" Target="http://eur-lex.europa.eu/legal-content/EN/TXT/?qid=1521726342201&amp;uri=CELEX:32014L0051" TargetMode="External"/><Relationship Id="rId403" Type="http://schemas.openxmlformats.org/officeDocument/2006/relationships/hyperlink" Target="http://eur-lex.europa.eu/legal-content/EN/TXT/?qid=1521800487363&amp;uri=CELEX:32013L0055" TargetMode="External"/><Relationship Id="rId6" Type="http://schemas.openxmlformats.org/officeDocument/2006/relationships/hyperlink" Target="http://eur-lex.europa.eu/legal-content/EN/TXT/?qid=1521638736725&amp;uri=CELEX:32014L0112" TargetMode="External"/><Relationship Id="rId238" Type="http://schemas.openxmlformats.org/officeDocument/2006/relationships/hyperlink" Target="http://curia.europa.eu/juris/liste.jsf?language=en&amp;jur=C,T,F&amp;num=C-383/17&amp;td=ALL" TargetMode="External"/><Relationship Id="rId445" Type="http://schemas.openxmlformats.org/officeDocument/2006/relationships/hyperlink" Target="http://eur-lex.europa.eu/legal-content/EN/TXT/?qid=1521638778501&amp;uri=CELEX:32015L1794" TargetMode="External"/><Relationship Id="rId291" Type="http://schemas.openxmlformats.org/officeDocument/2006/relationships/hyperlink" Target="http://eur-lex.europa.eu/legal-content/EN/TXT/?qid=1521801814023&amp;uri=CELEX:32015L0849" TargetMode="External"/><Relationship Id="rId305" Type="http://schemas.openxmlformats.org/officeDocument/2006/relationships/hyperlink" Target="http://eur-lex.europa.eu/legal-content/EN/TXT/?qid=1521802148249&amp;uri=CELEX:32014L0036" TargetMode="External"/><Relationship Id="rId347" Type="http://schemas.openxmlformats.org/officeDocument/2006/relationships/hyperlink" Target="http://eur-lex.europa.eu/legal-content/EN/TXT/?qid=1521804170378&amp;uri=CELEX:32014L0095" TargetMode="External"/><Relationship Id="rId44" Type="http://schemas.openxmlformats.org/officeDocument/2006/relationships/hyperlink" Target="http://eur-lex.europa.eu/legal-content/EN/TXT/?uri=OJ%3AJOL_2015_239_R_0011" TargetMode="External"/><Relationship Id="rId86" Type="http://schemas.openxmlformats.org/officeDocument/2006/relationships/hyperlink" Target="http://eur-lex.europa.eu/legal-content/AUTO/?uri=CELEX:32011L0095&amp;qid=1522068421809&amp;rid=1" TargetMode="External"/><Relationship Id="rId151" Type="http://schemas.openxmlformats.org/officeDocument/2006/relationships/hyperlink" Target="http://curia.europa.eu/juris/liste.jsf?language=en&amp;jur=C,T,F&amp;num=C-664/15&amp;td=ALL" TargetMode="External"/><Relationship Id="rId389" Type="http://schemas.openxmlformats.org/officeDocument/2006/relationships/hyperlink" Target="http://eur-lex.europa.eu/legal-content/EN/TXT/?qid=1521649763709&amp;uri=CELEX:32014L0065" TargetMode="External"/><Relationship Id="rId193" Type="http://schemas.openxmlformats.org/officeDocument/2006/relationships/hyperlink" Target="http://eur-lex.europa.eu/legal-content/EN/TXT/?qid=1521833991447&amp;uri=CELEX:32009L0012" TargetMode="External"/><Relationship Id="rId207" Type="http://schemas.openxmlformats.org/officeDocument/2006/relationships/hyperlink" Target="http://curia.europa.eu/juris/liste.jsf?language=en&amp;jur=C,T,F&amp;num=C-277/16&amp;td=ALL" TargetMode="External"/><Relationship Id="rId249" Type="http://schemas.openxmlformats.org/officeDocument/2006/relationships/hyperlink" Target="http://eur-lex.europa.eu/legal-content/EN/TXT/?qid=1521800653396&amp;uri=CELEX:32014L0033" TargetMode="External"/><Relationship Id="rId414" Type="http://schemas.openxmlformats.org/officeDocument/2006/relationships/hyperlink" Target="https://eur-lex.europa.eu/legal-content/EN/TXT/?qid=1521712626680&amp;uri=CELEX:32015L2087" TargetMode="External"/><Relationship Id="rId456" Type="http://schemas.openxmlformats.org/officeDocument/2006/relationships/hyperlink" Target="http://eur-lex.europa.eu/legal-content/EN/TXT/?uri=CELEX:31995L0060"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00.xml.rels><?xml version="1.0" encoding="UTF-8" standalone="yes"?>
<Relationships xmlns="http://schemas.openxmlformats.org/package/2006/relationships"><Relationship Id="rId2" Type="http://schemas.openxmlformats.org/officeDocument/2006/relationships/package" Target="../embeddings/Microsoft_Excel_Worksheet100.xlsx"/><Relationship Id="rId1" Type="http://schemas.openxmlformats.org/officeDocument/2006/relationships/themeOverride" Target="../theme/themeOverride100.xml"/></Relationships>
</file>

<file path=word/charts/_rels/chart101.xml.rels><?xml version="1.0" encoding="UTF-8" standalone="yes"?>
<Relationships xmlns="http://schemas.openxmlformats.org/package/2006/relationships"><Relationship Id="rId2" Type="http://schemas.openxmlformats.org/officeDocument/2006/relationships/package" Target="../embeddings/Microsoft_Excel_Worksheet101.xlsx"/><Relationship Id="rId1" Type="http://schemas.openxmlformats.org/officeDocument/2006/relationships/themeOverride" Target="../theme/themeOverride101.xml"/></Relationships>
</file>

<file path=word/charts/_rels/chart102.xml.rels><?xml version="1.0" encoding="UTF-8" standalone="yes"?>
<Relationships xmlns="http://schemas.openxmlformats.org/package/2006/relationships"><Relationship Id="rId2" Type="http://schemas.openxmlformats.org/officeDocument/2006/relationships/package" Target="../embeddings/Microsoft_Excel_Worksheet102.xlsx"/><Relationship Id="rId1" Type="http://schemas.openxmlformats.org/officeDocument/2006/relationships/themeOverride" Target="../theme/themeOverride102.xml"/></Relationships>
</file>

<file path=word/charts/_rels/chart103.xml.rels><?xml version="1.0" encoding="UTF-8" standalone="yes"?>
<Relationships xmlns="http://schemas.openxmlformats.org/package/2006/relationships"><Relationship Id="rId2" Type="http://schemas.openxmlformats.org/officeDocument/2006/relationships/package" Target="../embeddings/Microsoft_Excel_Worksheet103.xlsx"/><Relationship Id="rId1" Type="http://schemas.openxmlformats.org/officeDocument/2006/relationships/themeOverride" Target="../theme/themeOverride103.xml"/></Relationships>
</file>

<file path=word/charts/_rels/chart104.xml.rels><?xml version="1.0" encoding="UTF-8" standalone="yes"?>
<Relationships xmlns="http://schemas.openxmlformats.org/package/2006/relationships"><Relationship Id="rId2" Type="http://schemas.openxmlformats.org/officeDocument/2006/relationships/package" Target="../embeddings/Microsoft_Excel_Worksheet104.xlsx"/><Relationship Id="rId1" Type="http://schemas.openxmlformats.org/officeDocument/2006/relationships/themeOverride" Target="../theme/themeOverride104.xml"/></Relationships>
</file>

<file path=word/charts/_rels/chart105.xml.rels><?xml version="1.0" encoding="UTF-8" standalone="yes"?>
<Relationships xmlns="http://schemas.openxmlformats.org/package/2006/relationships"><Relationship Id="rId2" Type="http://schemas.openxmlformats.org/officeDocument/2006/relationships/package" Target="../embeddings/Microsoft_Excel_Worksheet105.xlsx"/><Relationship Id="rId1" Type="http://schemas.openxmlformats.org/officeDocument/2006/relationships/themeOverride" Target="../theme/themeOverride105.xml"/></Relationships>
</file>

<file path=word/charts/_rels/chart106.xml.rels><?xml version="1.0" encoding="UTF-8" standalone="yes"?>
<Relationships xmlns="http://schemas.openxmlformats.org/package/2006/relationships"><Relationship Id="rId2" Type="http://schemas.openxmlformats.org/officeDocument/2006/relationships/package" Target="../embeddings/Microsoft_Excel_Worksheet106.xlsx"/><Relationship Id="rId1" Type="http://schemas.openxmlformats.org/officeDocument/2006/relationships/themeOverride" Target="../theme/themeOverride106.xml"/></Relationships>
</file>

<file path=word/charts/_rels/chart107.xml.rels><?xml version="1.0" encoding="UTF-8" standalone="yes"?>
<Relationships xmlns="http://schemas.openxmlformats.org/package/2006/relationships"><Relationship Id="rId2" Type="http://schemas.openxmlformats.org/officeDocument/2006/relationships/package" Target="../embeddings/Microsoft_Excel_Worksheet107.xlsx"/><Relationship Id="rId1" Type="http://schemas.openxmlformats.org/officeDocument/2006/relationships/themeOverride" Target="../theme/themeOverride107.xml"/></Relationships>
</file>

<file path=word/charts/_rels/chart108.xml.rels><?xml version="1.0" encoding="UTF-8" standalone="yes"?>
<Relationships xmlns="http://schemas.openxmlformats.org/package/2006/relationships"><Relationship Id="rId2" Type="http://schemas.openxmlformats.org/officeDocument/2006/relationships/package" Target="../embeddings/Microsoft_Excel_Worksheet108.xlsx"/><Relationship Id="rId1" Type="http://schemas.openxmlformats.org/officeDocument/2006/relationships/themeOverride" Target="../theme/themeOverride108.xml"/></Relationships>
</file>

<file path=word/charts/_rels/chart109.xml.rels><?xml version="1.0" encoding="UTF-8" standalone="yes"?>
<Relationships xmlns="http://schemas.openxmlformats.org/package/2006/relationships"><Relationship Id="rId2" Type="http://schemas.openxmlformats.org/officeDocument/2006/relationships/package" Target="../embeddings/Microsoft_Excel_Worksheet109.xlsx"/><Relationship Id="rId1" Type="http://schemas.openxmlformats.org/officeDocument/2006/relationships/themeOverride" Target="../theme/themeOverride10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10.xml.rels><?xml version="1.0" encoding="UTF-8" standalone="yes"?>
<Relationships xmlns="http://schemas.openxmlformats.org/package/2006/relationships"><Relationship Id="rId2" Type="http://schemas.openxmlformats.org/officeDocument/2006/relationships/package" Target="../embeddings/Microsoft_Excel_Worksheet110.xlsx"/><Relationship Id="rId1" Type="http://schemas.openxmlformats.org/officeDocument/2006/relationships/themeOverride" Target="../theme/themeOverride110.xml"/></Relationships>
</file>

<file path=word/charts/_rels/chart111.xml.rels><?xml version="1.0" encoding="UTF-8" standalone="yes"?>
<Relationships xmlns="http://schemas.openxmlformats.org/package/2006/relationships"><Relationship Id="rId2" Type="http://schemas.openxmlformats.org/officeDocument/2006/relationships/package" Target="../embeddings/Microsoft_Excel_Worksheet111.xlsx"/><Relationship Id="rId1" Type="http://schemas.openxmlformats.org/officeDocument/2006/relationships/themeOverride" Target="../theme/themeOverride111.xml"/></Relationships>
</file>

<file path=word/charts/_rels/chart112.xml.rels><?xml version="1.0" encoding="UTF-8" standalone="yes"?>
<Relationships xmlns="http://schemas.openxmlformats.org/package/2006/relationships"><Relationship Id="rId2" Type="http://schemas.openxmlformats.org/officeDocument/2006/relationships/package" Target="../embeddings/Microsoft_Excel_Worksheet112.xlsx"/><Relationship Id="rId1" Type="http://schemas.openxmlformats.org/officeDocument/2006/relationships/themeOverride" Target="../theme/themeOverride112.xml"/></Relationships>
</file>

<file path=word/charts/_rels/chart113.xml.rels><?xml version="1.0" encoding="UTF-8" standalone="yes"?>
<Relationships xmlns="http://schemas.openxmlformats.org/package/2006/relationships"><Relationship Id="rId2" Type="http://schemas.openxmlformats.org/officeDocument/2006/relationships/package" Target="../embeddings/Microsoft_Excel_Worksheet113.xlsx"/><Relationship Id="rId1" Type="http://schemas.openxmlformats.org/officeDocument/2006/relationships/themeOverride" Target="../theme/themeOverride113.xml"/></Relationships>
</file>

<file path=word/charts/_rels/chart114.xml.rels><?xml version="1.0" encoding="UTF-8" standalone="yes"?>
<Relationships xmlns="http://schemas.openxmlformats.org/package/2006/relationships"><Relationship Id="rId2" Type="http://schemas.openxmlformats.org/officeDocument/2006/relationships/package" Target="../embeddings/Microsoft_Excel_Worksheet114.xlsx"/><Relationship Id="rId1" Type="http://schemas.openxmlformats.org/officeDocument/2006/relationships/themeOverride" Target="../theme/themeOverride114.xml"/></Relationships>
</file>

<file path=word/charts/_rels/chart115.xml.rels><?xml version="1.0" encoding="UTF-8" standalone="yes"?>
<Relationships xmlns="http://schemas.openxmlformats.org/package/2006/relationships"><Relationship Id="rId2" Type="http://schemas.openxmlformats.org/officeDocument/2006/relationships/package" Target="../embeddings/Microsoft_Excel_Worksheet115.xlsx"/><Relationship Id="rId1" Type="http://schemas.openxmlformats.org/officeDocument/2006/relationships/themeOverride" Target="../theme/themeOverride115.xml"/></Relationships>
</file>

<file path=word/charts/_rels/chart116.xml.rels><?xml version="1.0" encoding="UTF-8" standalone="yes"?>
<Relationships xmlns="http://schemas.openxmlformats.org/package/2006/relationships"><Relationship Id="rId2" Type="http://schemas.openxmlformats.org/officeDocument/2006/relationships/package" Target="../embeddings/Microsoft_Excel_Worksheet116.xlsx"/><Relationship Id="rId1" Type="http://schemas.openxmlformats.org/officeDocument/2006/relationships/themeOverride" Target="../theme/themeOverride116.xml"/></Relationships>
</file>

<file path=word/charts/_rels/chart117.xml.rels><?xml version="1.0" encoding="UTF-8" standalone="yes"?>
<Relationships xmlns="http://schemas.openxmlformats.org/package/2006/relationships"><Relationship Id="rId2" Type="http://schemas.openxmlformats.org/officeDocument/2006/relationships/package" Target="../embeddings/Microsoft_Excel_Worksheet117.xlsx"/><Relationship Id="rId1" Type="http://schemas.openxmlformats.org/officeDocument/2006/relationships/themeOverride" Target="../theme/themeOverride117.xml"/></Relationships>
</file>

<file path=word/charts/_rels/chart118.xml.rels><?xml version="1.0" encoding="UTF-8" standalone="yes"?>
<Relationships xmlns="http://schemas.openxmlformats.org/package/2006/relationships"><Relationship Id="rId2" Type="http://schemas.openxmlformats.org/officeDocument/2006/relationships/package" Target="../embeddings/Microsoft_Excel_Worksheet118.xlsx"/><Relationship Id="rId1" Type="http://schemas.openxmlformats.org/officeDocument/2006/relationships/themeOverride" Target="../theme/themeOverride118.xml"/></Relationships>
</file>

<file path=word/charts/_rels/chart119.xml.rels><?xml version="1.0" encoding="UTF-8" standalone="yes"?>
<Relationships xmlns="http://schemas.openxmlformats.org/package/2006/relationships"><Relationship Id="rId2" Type="http://schemas.openxmlformats.org/officeDocument/2006/relationships/package" Target="../embeddings/Microsoft_Excel_Worksheet119.xlsx"/><Relationship Id="rId1" Type="http://schemas.openxmlformats.org/officeDocument/2006/relationships/themeOverride" Target="../theme/themeOverride119.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20.xml.rels><?xml version="1.0" encoding="UTF-8" standalone="yes"?>
<Relationships xmlns="http://schemas.openxmlformats.org/package/2006/relationships"><Relationship Id="rId2" Type="http://schemas.openxmlformats.org/officeDocument/2006/relationships/package" Target="../embeddings/Microsoft_Excel_Worksheet120.xlsx"/><Relationship Id="rId1" Type="http://schemas.openxmlformats.org/officeDocument/2006/relationships/themeOverride" Target="../theme/themeOverride120.xml"/></Relationships>
</file>

<file path=word/charts/_rels/chart121.xml.rels><?xml version="1.0" encoding="UTF-8" standalone="yes"?>
<Relationships xmlns="http://schemas.openxmlformats.org/package/2006/relationships"><Relationship Id="rId2" Type="http://schemas.openxmlformats.org/officeDocument/2006/relationships/package" Target="../embeddings/Microsoft_Excel_Worksheet121.xlsx"/><Relationship Id="rId1" Type="http://schemas.openxmlformats.org/officeDocument/2006/relationships/themeOverride" Target="../theme/themeOverride121.xml"/></Relationships>
</file>

<file path=word/charts/_rels/chart122.xml.rels><?xml version="1.0" encoding="UTF-8" standalone="yes"?>
<Relationships xmlns="http://schemas.openxmlformats.org/package/2006/relationships"><Relationship Id="rId2" Type="http://schemas.openxmlformats.org/officeDocument/2006/relationships/package" Target="../embeddings/Microsoft_Excel_Worksheet122.xlsx"/><Relationship Id="rId1" Type="http://schemas.openxmlformats.org/officeDocument/2006/relationships/themeOverride" Target="../theme/themeOverride122.xml"/></Relationships>
</file>

<file path=word/charts/_rels/chart123.xml.rels><?xml version="1.0" encoding="UTF-8" standalone="yes"?>
<Relationships xmlns="http://schemas.openxmlformats.org/package/2006/relationships"><Relationship Id="rId2" Type="http://schemas.openxmlformats.org/officeDocument/2006/relationships/package" Target="../embeddings/Microsoft_Excel_Worksheet123.xlsx"/><Relationship Id="rId1" Type="http://schemas.openxmlformats.org/officeDocument/2006/relationships/themeOverride" Target="../theme/themeOverride123.xml"/></Relationships>
</file>

<file path=word/charts/_rels/chart124.xml.rels><?xml version="1.0" encoding="UTF-8" standalone="yes"?>
<Relationships xmlns="http://schemas.openxmlformats.org/package/2006/relationships"><Relationship Id="rId2" Type="http://schemas.openxmlformats.org/officeDocument/2006/relationships/package" Target="../embeddings/Microsoft_Excel_Worksheet124.xlsx"/><Relationship Id="rId1" Type="http://schemas.openxmlformats.org/officeDocument/2006/relationships/themeOverride" Target="../theme/themeOverride124.xml"/></Relationships>
</file>

<file path=word/charts/_rels/chart125.xml.rels><?xml version="1.0" encoding="UTF-8" standalone="yes"?>
<Relationships xmlns="http://schemas.openxmlformats.org/package/2006/relationships"><Relationship Id="rId2" Type="http://schemas.openxmlformats.org/officeDocument/2006/relationships/package" Target="../embeddings/Microsoft_Excel_Worksheet125.xlsx"/><Relationship Id="rId1" Type="http://schemas.openxmlformats.org/officeDocument/2006/relationships/themeOverride" Target="../theme/themeOverride125.xml"/></Relationships>
</file>

<file path=word/charts/_rels/chart126.xml.rels><?xml version="1.0" encoding="UTF-8" standalone="yes"?>
<Relationships xmlns="http://schemas.openxmlformats.org/package/2006/relationships"><Relationship Id="rId2" Type="http://schemas.openxmlformats.org/officeDocument/2006/relationships/package" Target="../embeddings/Microsoft_Excel_Worksheet126.xlsx"/><Relationship Id="rId1" Type="http://schemas.openxmlformats.org/officeDocument/2006/relationships/themeOverride" Target="../theme/themeOverride126.xml"/></Relationships>
</file>

<file path=word/charts/_rels/chart127.xml.rels><?xml version="1.0" encoding="UTF-8" standalone="yes"?>
<Relationships xmlns="http://schemas.openxmlformats.org/package/2006/relationships"><Relationship Id="rId2" Type="http://schemas.openxmlformats.org/officeDocument/2006/relationships/package" Target="../embeddings/Microsoft_Excel_Worksheet127.xlsx"/><Relationship Id="rId1" Type="http://schemas.openxmlformats.org/officeDocument/2006/relationships/themeOverride" Target="../theme/themeOverride127.xml"/></Relationships>
</file>

<file path=word/charts/_rels/chart128.xml.rels><?xml version="1.0" encoding="UTF-8" standalone="yes"?>
<Relationships xmlns="http://schemas.openxmlformats.org/package/2006/relationships"><Relationship Id="rId2" Type="http://schemas.openxmlformats.org/officeDocument/2006/relationships/package" Target="../embeddings/Microsoft_Excel_Worksheet128.xlsx"/><Relationship Id="rId1" Type="http://schemas.openxmlformats.org/officeDocument/2006/relationships/themeOverride" Target="../theme/themeOverride128.xml"/></Relationships>
</file>

<file path=word/charts/_rels/chart129.xml.rels><?xml version="1.0" encoding="UTF-8" standalone="yes"?>
<Relationships xmlns="http://schemas.openxmlformats.org/package/2006/relationships"><Relationship Id="rId2" Type="http://schemas.openxmlformats.org/officeDocument/2006/relationships/package" Target="../embeddings/Microsoft_Excel_Worksheet129.xlsx"/><Relationship Id="rId1" Type="http://schemas.openxmlformats.org/officeDocument/2006/relationships/themeOverride" Target="../theme/themeOverride129.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30.xml.rels><?xml version="1.0" encoding="UTF-8" standalone="yes"?>
<Relationships xmlns="http://schemas.openxmlformats.org/package/2006/relationships"><Relationship Id="rId2" Type="http://schemas.openxmlformats.org/officeDocument/2006/relationships/package" Target="../embeddings/Microsoft_Excel_Worksheet130.xlsx"/><Relationship Id="rId1" Type="http://schemas.openxmlformats.org/officeDocument/2006/relationships/themeOverride" Target="../theme/themeOverride130.xml"/></Relationships>
</file>

<file path=word/charts/_rels/chart131.xml.rels><?xml version="1.0" encoding="UTF-8" standalone="yes"?>
<Relationships xmlns="http://schemas.openxmlformats.org/package/2006/relationships"><Relationship Id="rId2" Type="http://schemas.openxmlformats.org/officeDocument/2006/relationships/package" Target="../embeddings/Microsoft_Excel_Worksheet131.xlsx"/><Relationship Id="rId1" Type="http://schemas.openxmlformats.org/officeDocument/2006/relationships/themeOverride" Target="../theme/themeOverride131.xml"/></Relationships>
</file>

<file path=word/charts/_rels/chart132.xml.rels><?xml version="1.0" encoding="UTF-8" standalone="yes"?>
<Relationships xmlns="http://schemas.openxmlformats.org/package/2006/relationships"><Relationship Id="rId2" Type="http://schemas.openxmlformats.org/officeDocument/2006/relationships/package" Target="../embeddings/Microsoft_Excel_Worksheet132.xlsx"/><Relationship Id="rId1" Type="http://schemas.openxmlformats.org/officeDocument/2006/relationships/themeOverride" Target="../theme/themeOverride132.xml"/></Relationships>
</file>

<file path=word/charts/_rels/chart133.xml.rels><?xml version="1.0" encoding="UTF-8" standalone="yes"?>
<Relationships xmlns="http://schemas.openxmlformats.org/package/2006/relationships"><Relationship Id="rId2" Type="http://schemas.openxmlformats.org/officeDocument/2006/relationships/package" Target="../embeddings/Microsoft_Excel_Worksheet133.xlsx"/><Relationship Id="rId1" Type="http://schemas.openxmlformats.org/officeDocument/2006/relationships/themeOverride" Target="../theme/themeOverride133.xml"/></Relationships>
</file>

<file path=word/charts/_rels/chart134.xml.rels><?xml version="1.0" encoding="UTF-8" standalone="yes"?>
<Relationships xmlns="http://schemas.openxmlformats.org/package/2006/relationships"><Relationship Id="rId2" Type="http://schemas.openxmlformats.org/officeDocument/2006/relationships/package" Target="../embeddings/Microsoft_Excel_Worksheet134.xlsx"/><Relationship Id="rId1" Type="http://schemas.openxmlformats.org/officeDocument/2006/relationships/themeOverride" Target="../theme/themeOverride134.xml"/></Relationships>
</file>

<file path=word/charts/_rels/chart135.xml.rels><?xml version="1.0" encoding="UTF-8" standalone="yes"?>
<Relationships xmlns="http://schemas.openxmlformats.org/package/2006/relationships"><Relationship Id="rId2" Type="http://schemas.openxmlformats.org/officeDocument/2006/relationships/package" Target="../embeddings/Microsoft_Excel_Worksheet135.xlsx"/><Relationship Id="rId1" Type="http://schemas.openxmlformats.org/officeDocument/2006/relationships/themeOverride" Target="../theme/themeOverride135.xml"/></Relationships>
</file>

<file path=word/charts/_rels/chart136.xml.rels><?xml version="1.0" encoding="UTF-8" standalone="yes"?>
<Relationships xmlns="http://schemas.openxmlformats.org/package/2006/relationships"><Relationship Id="rId2" Type="http://schemas.openxmlformats.org/officeDocument/2006/relationships/package" Target="../embeddings/Microsoft_Excel_Worksheet136.xlsx"/><Relationship Id="rId1" Type="http://schemas.openxmlformats.org/officeDocument/2006/relationships/themeOverride" Target="../theme/themeOverride136.xml"/></Relationships>
</file>

<file path=word/charts/_rels/chart137.xml.rels><?xml version="1.0" encoding="UTF-8" standalone="yes"?>
<Relationships xmlns="http://schemas.openxmlformats.org/package/2006/relationships"><Relationship Id="rId2" Type="http://schemas.openxmlformats.org/officeDocument/2006/relationships/package" Target="../embeddings/Microsoft_Excel_Worksheet137.xlsx"/><Relationship Id="rId1" Type="http://schemas.openxmlformats.org/officeDocument/2006/relationships/themeOverride" Target="../theme/themeOverride137.xml"/></Relationships>
</file>

<file path=word/charts/_rels/chart138.xml.rels><?xml version="1.0" encoding="UTF-8" standalone="yes"?>
<Relationships xmlns="http://schemas.openxmlformats.org/package/2006/relationships"><Relationship Id="rId2" Type="http://schemas.openxmlformats.org/officeDocument/2006/relationships/package" Target="../embeddings/Microsoft_Excel_Worksheet138.xlsx"/><Relationship Id="rId1" Type="http://schemas.openxmlformats.org/officeDocument/2006/relationships/themeOverride" Target="../theme/themeOverride138.xml"/></Relationships>
</file>

<file path=word/charts/_rels/chart139.xml.rels><?xml version="1.0" encoding="UTF-8" standalone="yes"?>
<Relationships xmlns="http://schemas.openxmlformats.org/package/2006/relationships"><Relationship Id="rId2" Type="http://schemas.openxmlformats.org/officeDocument/2006/relationships/package" Target="../embeddings/Microsoft_Excel_Worksheet139.xlsx"/><Relationship Id="rId1" Type="http://schemas.openxmlformats.org/officeDocument/2006/relationships/themeOverride" Target="../theme/themeOverride139.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40.xml.rels><?xml version="1.0" encoding="UTF-8" standalone="yes"?>
<Relationships xmlns="http://schemas.openxmlformats.org/package/2006/relationships"><Relationship Id="rId2" Type="http://schemas.openxmlformats.org/officeDocument/2006/relationships/package" Target="../embeddings/Microsoft_Excel_Worksheet140.xlsx"/><Relationship Id="rId1" Type="http://schemas.openxmlformats.org/officeDocument/2006/relationships/themeOverride" Target="../theme/themeOverride140.xml"/></Relationships>
</file>

<file path=word/charts/_rels/chart141.xml.rels><?xml version="1.0" encoding="UTF-8" standalone="yes"?>
<Relationships xmlns="http://schemas.openxmlformats.org/package/2006/relationships"><Relationship Id="rId2" Type="http://schemas.openxmlformats.org/officeDocument/2006/relationships/package" Target="../embeddings/Microsoft_Excel_Worksheet141.xlsx"/><Relationship Id="rId1" Type="http://schemas.openxmlformats.org/officeDocument/2006/relationships/themeOverride" Target="../theme/themeOverride141.xml"/></Relationships>
</file>

<file path=word/charts/_rels/chart142.xml.rels><?xml version="1.0" encoding="UTF-8" standalone="yes"?>
<Relationships xmlns="http://schemas.openxmlformats.org/package/2006/relationships"><Relationship Id="rId2" Type="http://schemas.openxmlformats.org/officeDocument/2006/relationships/package" Target="../embeddings/Microsoft_Excel_Worksheet142.xlsx"/><Relationship Id="rId1" Type="http://schemas.openxmlformats.org/officeDocument/2006/relationships/themeOverride" Target="../theme/themeOverride142.xml"/></Relationships>
</file>

<file path=word/charts/_rels/chart143.xml.rels><?xml version="1.0" encoding="UTF-8" standalone="yes"?>
<Relationships xmlns="http://schemas.openxmlformats.org/package/2006/relationships"><Relationship Id="rId2" Type="http://schemas.openxmlformats.org/officeDocument/2006/relationships/package" Target="../embeddings/Microsoft_Excel_Worksheet143.xlsx"/><Relationship Id="rId1" Type="http://schemas.openxmlformats.org/officeDocument/2006/relationships/themeOverride" Target="../theme/themeOverride14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40.xlsx"/><Relationship Id="rId1" Type="http://schemas.openxmlformats.org/officeDocument/2006/relationships/themeOverride" Target="../theme/themeOverride40.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41.xlsx"/><Relationship Id="rId1" Type="http://schemas.openxmlformats.org/officeDocument/2006/relationships/themeOverride" Target="../theme/themeOverride41.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Worksheet42.xlsx"/><Relationship Id="rId1" Type="http://schemas.openxmlformats.org/officeDocument/2006/relationships/themeOverride" Target="../theme/themeOverride42.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Worksheet43.xlsx"/><Relationship Id="rId1" Type="http://schemas.openxmlformats.org/officeDocument/2006/relationships/themeOverride" Target="../theme/themeOverride43.xml"/></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Excel_Worksheet44.xlsx"/><Relationship Id="rId1" Type="http://schemas.openxmlformats.org/officeDocument/2006/relationships/themeOverride" Target="../theme/themeOverride44.xm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Worksheet45.xlsx"/><Relationship Id="rId1" Type="http://schemas.openxmlformats.org/officeDocument/2006/relationships/themeOverride" Target="../theme/themeOverride45.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Worksheet46.xlsx"/><Relationship Id="rId1" Type="http://schemas.openxmlformats.org/officeDocument/2006/relationships/themeOverride" Target="../theme/themeOverride46.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Excel_Worksheet47.xlsx"/><Relationship Id="rId1" Type="http://schemas.openxmlformats.org/officeDocument/2006/relationships/themeOverride" Target="../theme/themeOverride47.xm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Excel_Worksheet48.xlsx"/><Relationship Id="rId1" Type="http://schemas.openxmlformats.org/officeDocument/2006/relationships/themeOverride" Target="../theme/themeOverride48.xml"/></Relationships>
</file>

<file path=word/charts/_rels/chart49.xml.rels><?xml version="1.0" encoding="UTF-8" standalone="yes"?>
<Relationships xmlns="http://schemas.openxmlformats.org/package/2006/relationships"><Relationship Id="rId2" Type="http://schemas.openxmlformats.org/officeDocument/2006/relationships/package" Target="../embeddings/Microsoft_Excel_Worksheet49.xlsx"/><Relationship Id="rId1" Type="http://schemas.openxmlformats.org/officeDocument/2006/relationships/themeOverride" Target="../theme/themeOverride49.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package" Target="../embeddings/Microsoft_Excel_Worksheet50.xlsx"/><Relationship Id="rId1" Type="http://schemas.openxmlformats.org/officeDocument/2006/relationships/themeOverride" Target="../theme/themeOverride50.xml"/></Relationships>
</file>

<file path=word/charts/_rels/chart51.xml.rels><?xml version="1.0" encoding="UTF-8" standalone="yes"?>
<Relationships xmlns="http://schemas.openxmlformats.org/package/2006/relationships"><Relationship Id="rId2" Type="http://schemas.openxmlformats.org/officeDocument/2006/relationships/package" Target="../embeddings/Microsoft_Excel_Worksheet51.xlsx"/><Relationship Id="rId1" Type="http://schemas.openxmlformats.org/officeDocument/2006/relationships/themeOverride" Target="../theme/themeOverride51.xml"/></Relationships>
</file>

<file path=word/charts/_rels/chart52.xml.rels><?xml version="1.0" encoding="UTF-8" standalone="yes"?>
<Relationships xmlns="http://schemas.openxmlformats.org/package/2006/relationships"><Relationship Id="rId2" Type="http://schemas.openxmlformats.org/officeDocument/2006/relationships/package" Target="../embeddings/Microsoft_Excel_Worksheet52.xlsx"/><Relationship Id="rId1" Type="http://schemas.openxmlformats.org/officeDocument/2006/relationships/themeOverride" Target="../theme/themeOverride52.xml"/></Relationships>
</file>

<file path=word/charts/_rels/chart53.xml.rels><?xml version="1.0" encoding="UTF-8" standalone="yes"?>
<Relationships xmlns="http://schemas.openxmlformats.org/package/2006/relationships"><Relationship Id="rId2" Type="http://schemas.openxmlformats.org/officeDocument/2006/relationships/package" Target="../embeddings/Microsoft_Excel_Worksheet53.xlsx"/><Relationship Id="rId1" Type="http://schemas.openxmlformats.org/officeDocument/2006/relationships/themeOverride" Target="../theme/themeOverride53.xml"/></Relationships>
</file>

<file path=word/charts/_rels/chart54.xml.rels><?xml version="1.0" encoding="UTF-8" standalone="yes"?>
<Relationships xmlns="http://schemas.openxmlformats.org/package/2006/relationships"><Relationship Id="rId2" Type="http://schemas.openxmlformats.org/officeDocument/2006/relationships/package" Target="../embeddings/Microsoft_Excel_Worksheet54.xlsx"/><Relationship Id="rId1" Type="http://schemas.openxmlformats.org/officeDocument/2006/relationships/themeOverride" Target="../theme/themeOverride54.xml"/></Relationships>
</file>

<file path=word/charts/_rels/chart55.xml.rels><?xml version="1.0" encoding="UTF-8" standalone="yes"?>
<Relationships xmlns="http://schemas.openxmlformats.org/package/2006/relationships"><Relationship Id="rId2" Type="http://schemas.openxmlformats.org/officeDocument/2006/relationships/package" Target="../embeddings/Microsoft_Excel_Worksheet55.xlsx"/><Relationship Id="rId1" Type="http://schemas.openxmlformats.org/officeDocument/2006/relationships/themeOverride" Target="../theme/themeOverride55.xml"/></Relationships>
</file>

<file path=word/charts/_rels/chart56.xml.rels><?xml version="1.0" encoding="UTF-8" standalone="yes"?>
<Relationships xmlns="http://schemas.openxmlformats.org/package/2006/relationships"><Relationship Id="rId2" Type="http://schemas.openxmlformats.org/officeDocument/2006/relationships/package" Target="../embeddings/Microsoft_Excel_Worksheet56.xlsx"/><Relationship Id="rId1" Type="http://schemas.openxmlformats.org/officeDocument/2006/relationships/themeOverride" Target="../theme/themeOverride56.xml"/></Relationships>
</file>

<file path=word/charts/_rels/chart57.xml.rels><?xml version="1.0" encoding="UTF-8" standalone="yes"?>
<Relationships xmlns="http://schemas.openxmlformats.org/package/2006/relationships"><Relationship Id="rId2" Type="http://schemas.openxmlformats.org/officeDocument/2006/relationships/package" Target="../embeddings/Microsoft_Excel_Worksheet57.xlsx"/><Relationship Id="rId1" Type="http://schemas.openxmlformats.org/officeDocument/2006/relationships/themeOverride" Target="../theme/themeOverride57.xml"/></Relationships>
</file>

<file path=word/charts/_rels/chart58.xml.rels><?xml version="1.0" encoding="UTF-8" standalone="yes"?>
<Relationships xmlns="http://schemas.openxmlformats.org/package/2006/relationships"><Relationship Id="rId2" Type="http://schemas.openxmlformats.org/officeDocument/2006/relationships/package" Target="../embeddings/Microsoft_Excel_Worksheet58.xlsx"/><Relationship Id="rId1" Type="http://schemas.openxmlformats.org/officeDocument/2006/relationships/themeOverride" Target="../theme/themeOverride58.xml"/></Relationships>
</file>

<file path=word/charts/_rels/chart59.xml.rels><?xml version="1.0" encoding="UTF-8" standalone="yes"?>
<Relationships xmlns="http://schemas.openxmlformats.org/package/2006/relationships"><Relationship Id="rId2" Type="http://schemas.openxmlformats.org/officeDocument/2006/relationships/package" Target="../embeddings/Microsoft_Excel_Worksheet59.xlsx"/><Relationship Id="rId1" Type="http://schemas.openxmlformats.org/officeDocument/2006/relationships/themeOverride" Target="../theme/themeOverride59.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2" Type="http://schemas.openxmlformats.org/officeDocument/2006/relationships/package" Target="../embeddings/Microsoft_Excel_Worksheet60.xlsx"/><Relationship Id="rId1" Type="http://schemas.openxmlformats.org/officeDocument/2006/relationships/themeOverride" Target="../theme/themeOverride60.xml"/></Relationships>
</file>

<file path=word/charts/_rels/chart61.xml.rels><?xml version="1.0" encoding="UTF-8" standalone="yes"?>
<Relationships xmlns="http://schemas.openxmlformats.org/package/2006/relationships"><Relationship Id="rId2" Type="http://schemas.openxmlformats.org/officeDocument/2006/relationships/package" Target="../embeddings/Microsoft_Excel_Worksheet61.xlsx"/><Relationship Id="rId1" Type="http://schemas.openxmlformats.org/officeDocument/2006/relationships/themeOverride" Target="../theme/themeOverride61.xml"/></Relationships>
</file>

<file path=word/charts/_rels/chart62.xml.rels><?xml version="1.0" encoding="UTF-8" standalone="yes"?>
<Relationships xmlns="http://schemas.openxmlformats.org/package/2006/relationships"><Relationship Id="rId2" Type="http://schemas.openxmlformats.org/officeDocument/2006/relationships/package" Target="../embeddings/Microsoft_Excel_Worksheet62.xlsx"/><Relationship Id="rId1" Type="http://schemas.openxmlformats.org/officeDocument/2006/relationships/themeOverride" Target="../theme/themeOverride62.xml"/></Relationships>
</file>

<file path=word/charts/_rels/chart63.xml.rels><?xml version="1.0" encoding="UTF-8" standalone="yes"?>
<Relationships xmlns="http://schemas.openxmlformats.org/package/2006/relationships"><Relationship Id="rId2" Type="http://schemas.openxmlformats.org/officeDocument/2006/relationships/package" Target="../embeddings/Microsoft_Excel_Worksheet63.xlsx"/><Relationship Id="rId1" Type="http://schemas.openxmlformats.org/officeDocument/2006/relationships/themeOverride" Target="../theme/themeOverride63.xml"/></Relationships>
</file>

<file path=word/charts/_rels/chart64.xml.rels><?xml version="1.0" encoding="UTF-8" standalone="yes"?>
<Relationships xmlns="http://schemas.openxmlformats.org/package/2006/relationships"><Relationship Id="rId2" Type="http://schemas.openxmlformats.org/officeDocument/2006/relationships/package" Target="../embeddings/Microsoft_Excel_Worksheet64.xlsx"/><Relationship Id="rId1" Type="http://schemas.openxmlformats.org/officeDocument/2006/relationships/themeOverride" Target="../theme/themeOverride64.xml"/></Relationships>
</file>

<file path=word/charts/_rels/chart65.xml.rels><?xml version="1.0" encoding="UTF-8" standalone="yes"?>
<Relationships xmlns="http://schemas.openxmlformats.org/package/2006/relationships"><Relationship Id="rId2" Type="http://schemas.openxmlformats.org/officeDocument/2006/relationships/package" Target="../embeddings/Microsoft_Excel_Worksheet65.xlsx"/><Relationship Id="rId1" Type="http://schemas.openxmlformats.org/officeDocument/2006/relationships/themeOverride" Target="../theme/themeOverride65.xml"/></Relationships>
</file>

<file path=word/charts/_rels/chart66.xml.rels><?xml version="1.0" encoding="UTF-8" standalone="yes"?>
<Relationships xmlns="http://schemas.openxmlformats.org/package/2006/relationships"><Relationship Id="rId2" Type="http://schemas.openxmlformats.org/officeDocument/2006/relationships/package" Target="../embeddings/Microsoft_Excel_Worksheet66.xlsx"/><Relationship Id="rId1" Type="http://schemas.openxmlformats.org/officeDocument/2006/relationships/themeOverride" Target="../theme/themeOverride66.xml"/></Relationships>
</file>

<file path=word/charts/_rels/chart67.xml.rels><?xml version="1.0" encoding="UTF-8" standalone="yes"?>
<Relationships xmlns="http://schemas.openxmlformats.org/package/2006/relationships"><Relationship Id="rId2" Type="http://schemas.openxmlformats.org/officeDocument/2006/relationships/package" Target="../embeddings/Microsoft_Excel_Worksheet67.xlsx"/><Relationship Id="rId1" Type="http://schemas.openxmlformats.org/officeDocument/2006/relationships/themeOverride" Target="../theme/themeOverride67.xml"/></Relationships>
</file>

<file path=word/charts/_rels/chart68.xml.rels><?xml version="1.0" encoding="UTF-8" standalone="yes"?>
<Relationships xmlns="http://schemas.openxmlformats.org/package/2006/relationships"><Relationship Id="rId2" Type="http://schemas.openxmlformats.org/officeDocument/2006/relationships/package" Target="../embeddings/Microsoft_Excel_Worksheet68.xlsx"/><Relationship Id="rId1" Type="http://schemas.openxmlformats.org/officeDocument/2006/relationships/themeOverride" Target="../theme/themeOverride68.xml"/></Relationships>
</file>

<file path=word/charts/_rels/chart69.xml.rels><?xml version="1.0" encoding="UTF-8" standalone="yes"?>
<Relationships xmlns="http://schemas.openxmlformats.org/package/2006/relationships"><Relationship Id="rId2" Type="http://schemas.openxmlformats.org/officeDocument/2006/relationships/package" Target="../embeddings/Microsoft_Excel_Worksheet69.xlsx"/><Relationship Id="rId1" Type="http://schemas.openxmlformats.org/officeDocument/2006/relationships/themeOverride" Target="../theme/themeOverride69.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70.xml.rels><?xml version="1.0" encoding="UTF-8" standalone="yes"?>
<Relationships xmlns="http://schemas.openxmlformats.org/package/2006/relationships"><Relationship Id="rId2" Type="http://schemas.openxmlformats.org/officeDocument/2006/relationships/package" Target="../embeddings/Microsoft_Excel_Worksheet70.xlsx"/><Relationship Id="rId1" Type="http://schemas.openxmlformats.org/officeDocument/2006/relationships/themeOverride" Target="../theme/themeOverride70.xml"/></Relationships>
</file>

<file path=word/charts/_rels/chart71.xml.rels><?xml version="1.0" encoding="UTF-8" standalone="yes"?>
<Relationships xmlns="http://schemas.openxmlformats.org/package/2006/relationships"><Relationship Id="rId2" Type="http://schemas.openxmlformats.org/officeDocument/2006/relationships/package" Target="../embeddings/Microsoft_Excel_Worksheet71.xlsx"/><Relationship Id="rId1" Type="http://schemas.openxmlformats.org/officeDocument/2006/relationships/themeOverride" Target="../theme/themeOverride71.xml"/></Relationships>
</file>

<file path=word/charts/_rels/chart72.xml.rels><?xml version="1.0" encoding="UTF-8" standalone="yes"?>
<Relationships xmlns="http://schemas.openxmlformats.org/package/2006/relationships"><Relationship Id="rId2" Type="http://schemas.openxmlformats.org/officeDocument/2006/relationships/package" Target="../embeddings/Microsoft_Excel_Worksheet72.xlsx"/><Relationship Id="rId1" Type="http://schemas.openxmlformats.org/officeDocument/2006/relationships/themeOverride" Target="../theme/themeOverride72.xml"/></Relationships>
</file>

<file path=word/charts/_rels/chart73.xml.rels><?xml version="1.0" encoding="UTF-8" standalone="yes"?>
<Relationships xmlns="http://schemas.openxmlformats.org/package/2006/relationships"><Relationship Id="rId2" Type="http://schemas.openxmlformats.org/officeDocument/2006/relationships/package" Target="../embeddings/Microsoft_Excel_Worksheet73.xlsx"/><Relationship Id="rId1" Type="http://schemas.openxmlformats.org/officeDocument/2006/relationships/themeOverride" Target="../theme/themeOverride73.xml"/></Relationships>
</file>

<file path=word/charts/_rels/chart74.xml.rels><?xml version="1.0" encoding="UTF-8" standalone="yes"?>
<Relationships xmlns="http://schemas.openxmlformats.org/package/2006/relationships"><Relationship Id="rId2" Type="http://schemas.openxmlformats.org/officeDocument/2006/relationships/package" Target="../embeddings/Microsoft_Excel_Worksheet74.xlsx"/><Relationship Id="rId1" Type="http://schemas.openxmlformats.org/officeDocument/2006/relationships/themeOverride" Target="../theme/themeOverride74.xml"/></Relationships>
</file>

<file path=word/charts/_rels/chart75.xml.rels><?xml version="1.0" encoding="UTF-8" standalone="yes"?>
<Relationships xmlns="http://schemas.openxmlformats.org/package/2006/relationships"><Relationship Id="rId2" Type="http://schemas.openxmlformats.org/officeDocument/2006/relationships/package" Target="../embeddings/Microsoft_Excel_Worksheet75.xlsx"/><Relationship Id="rId1" Type="http://schemas.openxmlformats.org/officeDocument/2006/relationships/themeOverride" Target="../theme/themeOverride75.xml"/></Relationships>
</file>

<file path=word/charts/_rels/chart76.xml.rels><?xml version="1.0" encoding="UTF-8" standalone="yes"?>
<Relationships xmlns="http://schemas.openxmlformats.org/package/2006/relationships"><Relationship Id="rId2" Type="http://schemas.openxmlformats.org/officeDocument/2006/relationships/package" Target="../embeddings/Microsoft_Excel_Worksheet76.xlsx"/><Relationship Id="rId1" Type="http://schemas.openxmlformats.org/officeDocument/2006/relationships/themeOverride" Target="../theme/themeOverride76.xml"/></Relationships>
</file>

<file path=word/charts/_rels/chart77.xml.rels><?xml version="1.0" encoding="UTF-8" standalone="yes"?>
<Relationships xmlns="http://schemas.openxmlformats.org/package/2006/relationships"><Relationship Id="rId2" Type="http://schemas.openxmlformats.org/officeDocument/2006/relationships/package" Target="../embeddings/Microsoft_Excel_Worksheet77.xlsx"/><Relationship Id="rId1" Type="http://schemas.openxmlformats.org/officeDocument/2006/relationships/themeOverride" Target="../theme/themeOverride77.xml"/></Relationships>
</file>

<file path=word/charts/_rels/chart78.xml.rels><?xml version="1.0" encoding="UTF-8" standalone="yes"?>
<Relationships xmlns="http://schemas.openxmlformats.org/package/2006/relationships"><Relationship Id="rId2" Type="http://schemas.openxmlformats.org/officeDocument/2006/relationships/package" Target="../embeddings/Microsoft_Excel_Worksheet78.xlsx"/><Relationship Id="rId1" Type="http://schemas.openxmlformats.org/officeDocument/2006/relationships/themeOverride" Target="../theme/themeOverride78.xml"/></Relationships>
</file>

<file path=word/charts/_rels/chart79.xml.rels><?xml version="1.0" encoding="UTF-8" standalone="yes"?>
<Relationships xmlns="http://schemas.openxmlformats.org/package/2006/relationships"><Relationship Id="rId2" Type="http://schemas.openxmlformats.org/officeDocument/2006/relationships/package" Target="../embeddings/Microsoft_Excel_Worksheet79.xlsx"/><Relationship Id="rId1" Type="http://schemas.openxmlformats.org/officeDocument/2006/relationships/themeOverride" Target="../theme/themeOverride79.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80.xml.rels><?xml version="1.0" encoding="UTF-8" standalone="yes"?>
<Relationships xmlns="http://schemas.openxmlformats.org/package/2006/relationships"><Relationship Id="rId2" Type="http://schemas.openxmlformats.org/officeDocument/2006/relationships/package" Target="../embeddings/Microsoft_Excel_Worksheet80.xlsx"/><Relationship Id="rId1" Type="http://schemas.openxmlformats.org/officeDocument/2006/relationships/themeOverride" Target="../theme/themeOverride80.xml"/></Relationships>
</file>

<file path=word/charts/_rels/chart81.xml.rels><?xml version="1.0" encoding="UTF-8" standalone="yes"?>
<Relationships xmlns="http://schemas.openxmlformats.org/package/2006/relationships"><Relationship Id="rId2" Type="http://schemas.openxmlformats.org/officeDocument/2006/relationships/package" Target="../embeddings/Microsoft_Excel_Worksheet81.xlsx"/><Relationship Id="rId1" Type="http://schemas.openxmlformats.org/officeDocument/2006/relationships/themeOverride" Target="../theme/themeOverride81.xml"/></Relationships>
</file>

<file path=word/charts/_rels/chart82.xml.rels><?xml version="1.0" encoding="UTF-8" standalone="yes"?>
<Relationships xmlns="http://schemas.openxmlformats.org/package/2006/relationships"><Relationship Id="rId2" Type="http://schemas.openxmlformats.org/officeDocument/2006/relationships/package" Target="../embeddings/Microsoft_Excel_Worksheet82.xlsx"/><Relationship Id="rId1" Type="http://schemas.openxmlformats.org/officeDocument/2006/relationships/themeOverride" Target="../theme/themeOverride82.xml"/></Relationships>
</file>

<file path=word/charts/_rels/chart83.xml.rels><?xml version="1.0" encoding="UTF-8" standalone="yes"?>
<Relationships xmlns="http://schemas.openxmlformats.org/package/2006/relationships"><Relationship Id="rId2" Type="http://schemas.openxmlformats.org/officeDocument/2006/relationships/package" Target="../embeddings/Microsoft_Excel_Worksheet83.xlsx"/><Relationship Id="rId1" Type="http://schemas.openxmlformats.org/officeDocument/2006/relationships/themeOverride" Target="../theme/themeOverride83.xml"/></Relationships>
</file>

<file path=word/charts/_rels/chart84.xml.rels><?xml version="1.0" encoding="UTF-8" standalone="yes"?>
<Relationships xmlns="http://schemas.openxmlformats.org/package/2006/relationships"><Relationship Id="rId2" Type="http://schemas.openxmlformats.org/officeDocument/2006/relationships/package" Target="../embeddings/Microsoft_Excel_Worksheet84.xlsx"/><Relationship Id="rId1" Type="http://schemas.openxmlformats.org/officeDocument/2006/relationships/themeOverride" Target="../theme/themeOverride84.xml"/></Relationships>
</file>

<file path=word/charts/_rels/chart85.xml.rels><?xml version="1.0" encoding="UTF-8" standalone="yes"?>
<Relationships xmlns="http://schemas.openxmlformats.org/package/2006/relationships"><Relationship Id="rId2" Type="http://schemas.openxmlformats.org/officeDocument/2006/relationships/package" Target="../embeddings/Microsoft_Excel_Worksheet85.xlsx"/><Relationship Id="rId1" Type="http://schemas.openxmlformats.org/officeDocument/2006/relationships/themeOverride" Target="../theme/themeOverride85.xml"/></Relationships>
</file>

<file path=word/charts/_rels/chart86.xml.rels><?xml version="1.0" encoding="UTF-8" standalone="yes"?>
<Relationships xmlns="http://schemas.openxmlformats.org/package/2006/relationships"><Relationship Id="rId2" Type="http://schemas.openxmlformats.org/officeDocument/2006/relationships/package" Target="../embeddings/Microsoft_Excel_Worksheet86.xlsx"/><Relationship Id="rId1" Type="http://schemas.openxmlformats.org/officeDocument/2006/relationships/themeOverride" Target="../theme/themeOverride86.xml"/></Relationships>
</file>

<file path=word/charts/_rels/chart87.xml.rels><?xml version="1.0" encoding="UTF-8" standalone="yes"?>
<Relationships xmlns="http://schemas.openxmlformats.org/package/2006/relationships"><Relationship Id="rId2" Type="http://schemas.openxmlformats.org/officeDocument/2006/relationships/package" Target="../embeddings/Microsoft_Excel_Worksheet87.xlsx"/><Relationship Id="rId1" Type="http://schemas.openxmlformats.org/officeDocument/2006/relationships/themeOverride" Target="../theme/themeOverride87.xml"/></Relationships>
</file>

<file path=word/charts/_rels/chart88.xml.rels><?xml version="1.0" encoding="UTF-8" standalone="yes"?>
<Relationships xmlns="http://schemas.openxmlformats.org/package/2006/relationships"><Relationship Id="rId2" Type="http://schemas.openxmlformats.org/officeDocument/2006/relationships/package" Target="../embeddings/Microsoft_Excel_Worksheet88.xlsx"/><Relationship Id="rId1" Type="http://schemas.openxmlformats.org/officeDocument/2006/relationships/themeOverride" Target="../theme/themeOverride88.xml"/></Relationships>
</file>

<file path=word/charts/_rels/chart89.xml.rels><?xml version="1.0" encoding="UTF-8" standalone="yes"?>
<Relationships xmlns="http://schemas.openxmlformats.org/package/2006/relationships"><Relationship Id="rId2" Type="http://schemas.openxmlformats.org/officeDocument/2006/relationships/package" Target="../embeddings/Microsoft_Excel_Worksheet89.xlsx"/><Relationship Id="rId1" Type="http://schemas.openxmlformats.org/officeDocument/2006/relationships/themeOverride" Target="../theme/themeOverride89.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_rels/chart90.xml.rels><?xml version="1.0" encoding="UTF-8" standalone="yes"?>
<Relationships xmlns="http://schemas.openxmlformats.org/package/2006/relationships"><Relationship Id="rId2" Type="http://schemas.openxmlformats.org/officeDocument/2006/relationships/package" Target="../embeddings/Microsoft_Excel_Worksheet90.xlsx"/><Relationship Id="rId1" Type="http://schemas.openxmlformats.org/officeDocument/2006/relationships/themeOverride" Target="../theme/themeOverride90.xml"/></Relationships>
</file>

<file path=word/charts/_rels/chart91.xml.rels><?xml version="1.0" encoding="UTF-8" standalone="yes"?>
<Relationships xmlns="http://schemas.openxmlformats.org/package/2006/relationships"><Relationship Id="rId2" Type="http://schemas.openxmlformats.org/officeDocument/2006/relationships/package" Target="../embeddings/Microsoft_Excel_Worksheet91.xlsx"/><Relationship Id="rId1" Type="http://schemas.openxmlformats.org/officeDocument/2006/relationships/themeOverride" Target="../theme/themeOverride91.xml"/></Relationships>
</file>

<file path=word/charts/_rels/chart92.xml.rels><?xml version="1.0" encoding="UTF-8" standalone="yes"?>
<Relationships xmlns="http://schemas.openxmlformats.org/package/2006/relationships"><Relationship Id="rId2" Type="http://schemas.openxmlformats.org/officeDocument/2006/relationships/package" Target="../embeddings/Microsoft_Excel_Worksheet92.xlsx"/><Relationship Id="rId1" Type="http://schemas.openxmlformats.org/officeDocument/2006/relationships/themeOverride" Target="../theme/themeOverride92.xml"/></Relationships>
</file>

<file path=word/charts/_rels/chart93.xml.rels><?xml version="1.0" encoding="UTF-8" standalone="yes"?>
<Relationships xmlns="http://schemas.openxmlformats.org/package/2006/relationships"><Relationship Id="rId2" Type="http://schemas.openxmlformats.org/officeDocument/2006/relationships/package" Target="../embeddings/Microsoft_Excel_Worksheet93.xlsx"/><Relationship Id="rId1" Type="http://schemas.openxmlformats.org/officeDocument/2006/relationships/themeOverride" Target="../theme/themeOverride93.xml"/></Relationships>
</file>

<file path=word/charts/_rels/chart94.xml.rels><?xml version="1.0" encoding="UTF-8" standalone="yes"?>
<Relationships xmlns="http://schemas.openxmlformats.org/package/2006/relationships"><Relationship Id="rId2" Type="http://schemas.openxmlformats.org/officeDocument/2006/relationships/package" Target="../embeddings/Microsoft_Excel_Worksheet94.xlsx"/><Relationship Id="rId1" Type="http://schemas.openxmlformats.org/officeDocument/2006/relationships/themeOverride" Target="../theme/themeOverride94.xml"/></Relationships>
</file>

<file path=word/charts/_rels/chart95.xml.rels><?xml version="1.0" encoding="UTF-8" standalone="yes"?>
<Relationships xmlns="http://schemas.openxmlformats.org/package/2006/relationships"><Relationship Id="rId2" Type="http://schemas.openxmlformats.org/officeDocument/2006/relationships/package" Target="../embeddings/Microsoft_Excel_Worksheet95.xlsx"/><Relationship Id="rId1" Type="http://schemas.openxmlformats.org/officeDocument/2006/relationships/themeOverride" Target="../theme/themeOverride95.xml"/></Relationships>
</file>

<file path=word/charts/_rels/chart96.xml.rels><?xml version="1.0" encoding="UTF-8" standalone="yes"?>
<Relationships xmlns="http://schemas.openxmlformats.org/package/2006/relationships"><Relationship Id="rId2" Type="http://schemas.openxmlformats.org/officeDocument/2006/relationships/package" Target="../embeddings/Microsoft_Excel_Worksheet96.xlsx"/><Relationship Id="rId1" Type="http://schemas.openxmlformats.org/officeDocument/2006/relationships/themeOverride" Target="../theme/themeOverride96.xml"/></Relationships>
</file>

<file path=word/charts/_rels/chart97.xml.rels><?xml version="1.0" encoding="UTF-8" standalone="yes"?>
<Relationships xmlns="http://schemas.openxmlformats.org/package/2006/relationships"><Relationship Id="rId2" Type="http://schemas.openxmlformats.org/officeDocument/2006/relationships/package" Target="../embeddings/Microsoft_Excel_Worksheet97.xlsx"/><Relationship Id="rId1" Type="http://schemas.openxmlformats.org/officeDocument/2006/relationships/themeOverride" Target="../theme/themeOverride97.xml"/></Relationships>
</file>

<file path=word/charts/_rels/chart98.xml.rels><?xml version="1.0" encoding="UTF-8" standalone="yes"?>
<Relationships xmlns="http://schemas.openxmlformats.org/package/2006/relationships"><Relationship Id="rId2" Type="http://schemas.openxmlformats.org/officeDocument/2006/relationships/package" Target="../embeddings/Microsoft_Excel_Worksheet98.xlsx"/><Relationship Id="rId1" Type="http://schemas.openxmlformats.org/officeDocument/2006/relationships/themeOverride" Target="../theme/themeOverride98.xml"/></Relationships>
</file>

<file path=word/charts/_rels/chart99.xml.rels><?xml version="1.0" encoding="UTF-8" standalone="yes"?>
<Relationships xmlns="http://schemas.openxmlformats.org/package/2006/relationships"><Relationship Id="rId2" Type="http://schemas.openxmlformats.org/officeDocument/2006/relationships/package" Target="../embeddings/Microsoft_Excel_Worksheet99.xlsx"/><Relationship Id="rId1" Type="http://schemas.openxmlformats.org/officeDocument/2006/relationships/themeOverride" Target="../theme/themeOverride9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1"/>
              <c:layout>
                <c:manualLayout>
                  <c:x val="-4.1955922865013776E-2"/>
                  <c:y val="-8.34767852294325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D611-4512-A8B3-A93A11B1F1C4}"/>
                </c:ext>
              </c:extLst>
            </c:dLbl>
            <c:dLbl>
              <c:idx val="2"/>
              <c:layout>
                <c:manualLayout>
                  <c:x val="-4.7586169497407863E-2"/>
                  <c:y val="7.116662141370259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FCDA-4EC9-BEF9-C1CDEF023BB4}"/>
                </c:ext>
              </c:extLst>
            </c:dLbl>
            <c:dLbl>
              <c:idx val="3"/>
              <c:layout>
                <c:manualLayout>
                  <c:x val="-3.6560021075432485E-2"/>
                  <c:y val="6.537989128836631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FCDA-4EC9-BEF9-C1CDEF023BB4}"/>
                </c:ext>
              </c:extLst>
            </c:dLbl>
            <c:spPr>
              <a:noFill/>
              <a:ln w="25417">
                <a:noFill/>
              </a:ln>
            </c:spPr>
            <c:txPr>
              <a:bodyPr rot="0" spcFirstLastPara="1" vertOverflow="ellipsis" vert="horz" wrap="square" lIns="38100" tIns="19050" rIns="38100" bIns="19050" anchor="ctr" anchorCtr="1">
                <a:spAutoFit/>
              </a:bodyPr>
              <a:lstStyle/>
              <a:p>
                <a:pPr>
                  <a:defRPr sz="901"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General</c:formatCode>
                <c:ptCount val="5"/>
                <c:pt idx="0">
                  <c:v>16</c:v>
                </c:pt>
                <c:pt idx="1">
                  <c:v>58</c:v>
                </c:pt>
                <c:pt idx="2">
                  <c:v>45</c:v>
                </c:pt>
                <c:pt idx="3">
                  <c:v>20</c:v>
                </c:pt>
                <c:pt idx="4">
                  <c:v>31</c:v>
                </c:pt>
              </c:numCache>
            </c:numRef>
          </c:val>
          <c:smooth val="0"/>
          <c:extLst xmlns:c16r2="http://schemas.microsoft.com/office/drawing/2015/06/chart">
            <c:ext xmlns:c16="http://schemas.microsoft.com/office/drawing/2014/chart" uri="{C3380CC4-5D6E-409C-BE32-E72D297353CC}">
              <c16:uniqueId val="{00000002-FCDA-4EC9-BEF9-C1CDEF023BB4}"/>
            </c:ext>
          </c:extLst>
        </c:ser>
        <c:dLbls>
          <c:showLegendKey val="0"/>
          <c:showVal val="0"/>
          <c:showCatName val="0"/>
          <c:showSerName val="0"/>
          <c:showPercent val="0"/>
          <c:showBubbleSize val="0"/>
        </c:dLbls>
        <c:marker val="1"/>
        <c:smooth val="0"/>
        <c:axId val="207567872"/>
        <c:axId val="269452416"/>
      </c:lineChart>
      <c:catAx>
        <c:axId val="207567872"/>
        <c:scaling>
          <c:orientation val="minMax"/>
        </c:scaling>
        <c:delete val="0"/>
        <c:axPos val="b"/>
        <c:numFmt formatCode="General" sourceLinked="1"/>
        <c:majorTickMark val="none"/>
        <c:minorTickMark val="none"/>
        <c:tickLblPos val="nextTo"/>
        <c:spPr>
          <a:noFill/>
          <a:ln w="12708" cap="flat" cmpd="sng" algn="ctr">
            <a:solidFill>
              <a:schemeClr val="tx1">
                <a:lumMod val="15000"/>
                <a:lumOff val="85000"/>
              </a:schemeClr>
            </a:solidFill>
            <a:round/>
          </a:ln>
          <a:effectLst/>
        </c:spPr>
        <c:txPr>
          <a:bodyPr rot="-60000000" spcFirstLastPara="1" vertOverflow="ellipsis" vert="horz" wrap="square" anchor="ctr" anchorCtr="1"/>
          <a:lstStyle/>
          <a:p>
            <a:pPr>
              <a:defRPr sz="901"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269452416"/>
        <c:crosses val="autoZero"/>
        <c:auto val="1"/>
        <c:lblAlgn val="ctr"/>
        <c:lblOffset val="100"/>
        <c:noMultiLvlLbl val="0"/>
      </c:catAx>
      <c:valAx>
        <c:axId val="269452416"/>
        <c:scaling>
          <c:orientation val="minMax"/>
          <c:max val="65"/>
          <c:min val="10"/>
        </c:scaling>
        <c:delete val="1"/>
        <c:axPos val="l"/>
        <c:majorGridlines>
          <c:spPr>
            <a:ln w="9531" cap="flat" cmpd="sng" algn="ctr">
              <a:solidFill>
                <a:schemeClr val="tx1">
                  <a:lumMod val="15000"/>
                  <a:lumOff val="85000"/>
                </a:schemeClr>
              </a:solidFill>
              <a:round/>
            </a:ln>
            <a:effectLst/>
          </c:spPr>
        </c:majorGridlines>
        <c:numFmt formatCode="General" sourceLinked="1"/>
        <c:majorTickMark val="out"/>
        <c:minorTickMark val="none"/>
        <c:tickLblPos val="nextTo"/>
        <c:crossAx val="207567872"/>
        <c:crosses val="autoZero"/>
        <c:crossBetween val="between"/>
      </c:valAx>
      <c:spPr>
        <a:noFill/>
        <a:ln w="25417">
          <a:noFill/>
        </a:ln>
      </c:spPr>
    </c:plotArea>
    <c:plotVisOnly val="1"/>
    <c:dispBlanksAs val="gap"/>
    <c:showDLblsOverMax val="0"/>
  </c:chart>
  <c:spPr>
    <a:solidFill>
      <a:schemeClr val="bg1"/>
    </a:solidFill>
    <a:ln w="953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4.4950444627257412E-2"/>
                  <c:y val="8.074781635902070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5BC9-483C-99ED-23E12B63CACB}"/>
                </c:ext>
              </c:extLst>
            </c:dLbl>
            <c:dLbl>
              <c:idx val="2"/>
              <c:layout>
                <c:manualLayout>
                  <c:x val="-3.6691085761281772E-2"/>
                  <c:y val="6.777942418029256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5BC9-483C-99ED-23E12B63CACB}"/>
                </c:ext>
              </c:extLst>
            </c:dLbl>
            <c:dLbl>
              <c:idx val="3"/>
              <c:layout>
                <c:manualLayout>
                  <c:x val="-4.4980587909040491E-2"/>
                  <c:y val="-9.092409240924093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5BC9-483C-99ED-23E12B63CACB}"/>
                </c:ext>
              </c:extLst>
            </c:dLbl>
            <c:dLbl>
              <c:idx val="4"/>
              <c:layout>
                <c:manualLayout>
                  <c:x val="-3.3887964503605102E-2"/>
                  <c:y val="-7.442244224422442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5BC9-483C-99ED-23E12B63CACB}"/>
                </c:ext>
              </c:extLst>
            </c:dLbl>
            <c:spPr>
              <a:noFill/>
              <a:ln w="25387">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Blad1!$A$2:$A$6</c:f>
              <c:numCache>
                <c:formatCode>General</c:formatCode>
                <c:ptCount val="5"/>
                <c:pt idx="0">
                  <c:v>2013</c:v>
                </c:pt>
                <c:pt idx="1">
                  <c:v>2014</c:v>
                </c:pt>
                <c:pt idx="2">
                  <c:v>2015</c:v>
                </c:pt>
                <c:pt idx="3">
                  <c:v>2016</c:v>
                </c:pt>
                <c:pt idx="4">
                  <c:v>2017</c:v>
                </c:pt>
              </c:numCache>
            </c:numRef>
          </c:cat>
          <c:val>
            <c:numRef>
              <c:f>Blad1!$B$2:$B$6</c:f>
              <c:numCache>
                <c:formatCode>General</c:formatCode>
                <c:ptCount val="5"/>
                <c:pt idx="0">
                  <c:v>22</c:v>
                </c:pt>
                <c:pt idx="1">
                  <c:v>17</c:v>
                </c:pt>
                <c:pt idx="2">
                  <c:v>22</c:v>
                </c:pt>
                <c:pt idx="3">
                  <c:v>37</c:v>
                </c:pt>
                <c:pt idx="4">
                  <c:v>22</c:v>
                </c:pt>
              </c:numCache>
            </c:numRef>
          </c:val>
          <c:smooth val="0"/>
          <c:extLst xmlns:c16r2="http://schemas.microsoft.com/office/drawing/2015/06/chart">
            <c:ext xmlns:c16="http://schemas.microsoft.com/office/drawing/2014/chart" uri="{C3380CC4-5D6E-409C-BE32-E72D297353CC}">
              <c16:uniqueId val="{00000004-5BC9-483C-99ED-23E12B63CACB}"/>
            </c:ext>
          </c:extLst>
        </c:ser>
        <c:dLbls>
          <c:showLegendKey val="0"/>
          <c:showVal val="0"/>
          <c:showCatName val="0"/>
          <c:showSerName val="0"/>
          <c:showPercent val="0"/>
          <c:showBubbleSize val="0"/>
        </c:dLbls>
        <c:marker val="1"/>
        <c:smooth val="0"/>
        <c:axId val="140302976"/>
        <c:axId val="140304768"/>
      </c:lineChart>
      <c:catAx>
        <c:axId val="140302976"/>
        <c:scaling>
          <c:orientation val="minMax"/>
        </c:scaling>
        <c:delete val="0"/>
        <c:axPos val="b"/>
        <c:numFmt formatCode="General" sourceLinked="1"/>
        <c:majorTickMark val="none"/>
        <c:minorTickMark val="none"/>
        <c:tickLblPos val="nextTo"/>
        <c:spPr>
          <a:noFill/>
          <a:ln w="12693"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40304768"/>
        <c:crosses val="autoZero"/>
        <c:auto val="1"/>
        <c:lblAlgn val="ctr"/>
        <c:lblOffset val="100"/>
        <c:noMultiLvlLbl val="0"/>
      </c:catAx>
      <c:valAx>
        <c:axId val="140304768"/>
        <c:scaling>
          <c:orientation val="minMax"/>
          <c:min val="5"/>
        </c:scaling>
        <c:delete val="1"/>
        <c:axPos val="l"/>
        <c:majorGridlines>
          <c:spPr>
            <a:ln w="9520" cap="flat" cmpd="sng" algn="ctr">
              <a:solidFill>
                <a:schemeClr val="tx1">
                  <a:lumMod val="15000"/>
                  <a:lumOff val="85000"/>
                </a:schemeClr>
              </a:solidFill>
              <a:round/>
            </a:ln>
            <a:effectLst/>
          </c:spPr>
        </c:majorGridlines>
        <c:numFmt formatCode="General" sourceLinked="1"/>
        <c:majorTickMark val="out"/>
        <c:minorTickMark val="none"/>
        <c:tickLblPos val="nextTo"/>
        <c:crossAx val="140302976"/>
        <c:crosses val="autoZero"/>
        <c:crossBetween val="between"/>
      </c:valAx>
      <c:spPr>
        <a:noFill/>
        <a:ln w="25387">
          <a:noFill/>
        </a:ln>
      </c:spPr>
    </c:plotArea>
    <c:plotVisOnly val="1"/>
    <c:dispBlanksAs val="gap"/>
    <c:showDLblsOverMax val="0"/>
  </c:chart>
  <c:spPr>
    <a:solidFill>
      <a:schemeClr val="bg1"/>
    </a:solidFill>
    <a:ln w="952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spPr>
              <a:noFill/>
              <a:ln w="25417">
                <a:noFill/>
              </a:ln>
            </c:spPr>
            <c:txPr>
              <a:bodyPr/>
              <a:lstStyle/>
              <a:p>
                <a:pPr>
                  <a:defRPr sz="901">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General</c:formatCode>
                <c:ptCount val="5"/>
                <c:pt idx="0">
                  <c:v>47</c:v>
                </c:pt>
                <c:pt idx="1">
                  <c:v>46</c:v>
                </c:pt>
                <c:pt idx="2">
                  <c:v>40</c:v>
                </c:pt>
                <c:pt idx="3">
                  <c:v>36</c:v>
                </c:pt>
                <c:pt idx="4">
                  <c:v>61</c:v>
                </c:pt>
              </c:numCache>
            </c:numRef>
          </c:val>
          <c:smooth val="0"/>
          <c:extLst xmlns:c16r2="http://schemas.microsoft.com/office/drawing/2015/06/chart">
            <c:ext xmlns:c16="http://schemas.microsoft.com/office/drawing/2014/chart" uri="{C3380CC4-5D6E-409C-BE32-E72D297353CC}">
              <c16:uniqueId val="{00000000-AAE5-4622-B406-545E7CD3961B}"/>
            </c:ext>
          </c:extLst>
        </c:ser>
        <c:dLbls>
          <c:showLegendKey val="0"/>
          <c:showVal val="0"/>
          <c:showCatName val="0"/>
          <c:showSerName val="0"/>
          <c:showPercent val="0"/>
          <c:showBubbleSize val="0"/>
        </c:dLbls>
        <c:marker val="1"/>
        <c:smooth val="0"/>
        <c:axId val="330615424"/>
        <c:axId val="330621312"/>
      </c:lineChart>
      <c:catAx>
        <c:axId val="330615424"/>
        <c:scaling>
          <c:orientation val="minMax"/>
        </c:scaling>
        <c:delete val="0"/>
        <c:axPos val="b"/>
        <c:numFmt formatCode="General" sourceLinked="1"/>
        <c:majorTickMark val="none"/>
        <c:minorTickMark val="none"/>
        <c:tickLblPos val="nextTo"/>
        <c:spPr>
          <a:noFill/>
          <a:ln w="12708" cap="flat" cmpd="sng" algn="ctr">
            <a:solidFill>
              <a:schemeClr val="tx1">
                <a:lumMod val="15000"/>
                <a:lumOff val="85000"/>
              </a:schemeClr>
            </a:solidFill>
            <a:round/>
          </a:ln>
          <a:effectLst/>
        </c:spPr>
        <c:txPr>
          <a:bodyPr rot="-60000000" spcFirstLastPara="1" vertOverflow="ellipsis" vert="horz" wrap="square" anchor="ctr" anchorCtr="1"/>
          <a:lstStyle/>
          <a:p>
            <a:pPr>
              <a:defRPr sz="901"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30621312"/>
        <c:crosses val="autoZero"/>
        <c:auto val="1"/>
        <c:lblAlgn val="ctr"/>
        <c:lblOffset val="100"/>
        <c:noMultiLvlLbl val="0"/>
      </c:catAx>
      <c:valAx>
        <c:axId val="330621312"/>
        <c:scaling>
          <c:orientation val="minMax"/>
          <c:min val="20"/>
        </c:scaling>
        <c:delete val="1"/>
        <c:axPos val="l"/>
        <c:majorGridlines>
          <c:spPr>
            <a:ln w="9531" cap="flat" cmpd="sng" algn="ctr">
              <a:solidFill>
                <a:schemeClr val="tx1">
                  <a:lumMod val="15000"/>
                  <a:lumOff val="85000"/>
                </a:schemeClr>
              </a:solidFill>
              <a:round/>
            </a:ln>
            <a:effectLst/>
          </c:spPr>
        </c:majorGridlines>
        <c:numFmt formatCode="General" sourceLinked="1"/>
        <c:majorTickMark val="out"/>
        <c:minorTickMark val="none"/>
        <c:tickLblPos val="nextTo"/>
        <c:crossAx val="330615424"/>
        <c:crosses val="autoZero"/>
        <c:crossBetween val="between"/>
      </c:valAx>
      <c:spPr>
        <a:noFill/>
        <a:ln w="25417">
          <a:noFill/>
        </a:ln>
      </c:spPr>
    </c:plotArea>
    <c:plotVisOnly val="1"/>
    <c:dispBlanksAs val="gap"/>
    <c:showDLblsOverMax val="0"/>
  </c:chart>
  <c:spPr>
    <a:solidFill>
      <a:schemeClr val="bg1"/>
    </a:solidFill>
    <a:ln w="953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mn-lt"/>
                <a:ea typeface="+mn-ea"/>
                <a:cs typeface="+mn-cs"/>
              </a:defRPr>
            </a:pPr>
            <a:r>
              <a:rPr lang="en-US" sz="1100" b="0" i="0">
                <a:solidFill>
                  <a:srgbClr val="002060"/>
                </a:solidFill>
                <a:latin typeface="Arial" panose="020B0604020202020204" pitchFamily="34" charset="0"/>
                <a:ea typeface="Verdana" panose="020B0604030504040204" pitchFamily="34" charset="0"/>
                <a:cs typeface="Arial" panose="020B0604020202020204" pitchFamily="34" charset="0"/>
              </a:rPr>
              <a:t>61 complaints made against </a:t>
            </a:r>
            <a:r>
              <a:rPr lang="en-US"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Slovakia</a:t>
            </a:r>
            <a:endParaRPr lang="en-US" sz="1100" b="0" i="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w="25401">
          <a:noFill/>
        </a:ln>
      </c:spPr>
    </c:title>
    <c:autoTitleDeleted val="0"/>
    <c:plotArea>
      <c:layout/>
      <c:pieChart>
        <c:varyColors val="1"/>
        <c:ser>
          <c:idx val="0"/>
          <c:order val="0"/>
          <c:tx>
            <c:strRef>
              <c:f>Blad1!$B$1</c:f>
              <c:strCache>
                <c:ptCount val="1"/>
                <c:pt idx="0">
                  <c:v>[Number of new complaints] complaints made against [Member State]</c:v>
                </c:pt>
              </c:strCache>
            </c:strRef>
          </c:tx>
          <c:spPr>
            <a:scene3d>
              <a:camera prst="orthographicFront"/>
              <a:lightRig rig="threePt" dir="t"/>
            </a:scene3d>
            <a:sp3d>
              <a:bevelT w="63500" h="25400"/>
            </a:sp3d>
          </c:spPr>
          <c:explosion val="4"/>
          <c:dPt>
            <c:idx val="0"/>
            <c:bubble3D val="0"/>
            <c:explosion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EC5C-4215-B8E4-04972C2AEAED}"/>
              </c:ext>
            </c:extLst>
          </c:dPt>
          <c:dPt>
            <c:idx val="1"/>
            <c:bubble3D val="0"/>
            <c:explosion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EC5C-4215-B8E4-04972C2AEAED}"/>
              </c:ext>
            </c:extLst>
          </c:dPt>
          <c:dPt>
            <c:idx val="2"/>
            <c:bubble3D val="0"/>
            <c:explosion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EC5C-4215-B8E4-04972C2AEAED}"/>
              </c:ext>
            </c:extLst>
          </c:dPt>
          <c:dPt>
            <c:idx val="3"/>
            <c:bubble3D val="0"/>
            <c:explosion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EC5C-4215-B8E4-04972C2AEAED}"/>
              </c:ext>
            </c:extLst>
          </c:dPt>
          <c:dPt>
            <c:idx val="4"/>
            <c:bubble3D val="0"/>
            <c:extLst xmlns:c16r2="http://schemas.microsoft.com/office/drawing/2015/06/chart">
              <c:ext xmlns:c16="http://schemas.microsoft.com/office/drawing/2014/chart" uri="{C3380CC4-5D6E-409C-BE32-E72D297353CC}">
                <c16:uniqueId val="{00000008-EC5C-4215-B8E4-04972C2AEAED}"/>
              </c:ext>
            </c:extLst>
          </c:dPt>
          <c:dLbls>
            <c:dLbl>
              <c:idx val="0"/>
              <c:layout>
                <c:manualLayout>
                  <c:x val="-1.100762322337385E-2"/>
                  <c:y val="7.3279735664109946E-2"/>
                </c:manualLayout>
              </c:layout>
              <c:spPr>
                <a:noFill/>
                <a:ln w="25401">
                  <a:noFill/>
                </a:ln>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EC5C-4215-B8E4-04972C2AEAED}"/>
                </c:ext>
              </c:extLst>
            </c:dLbl>
            <c:dLbl>
              <c:idx val="1"/>
              <c:layout>
                <c:manualLayout>
                  <c:x val="8.2508250825082501E-3"/>
                  <c:y val="-9.4616110683325469E-2"/>
                </c:manualLayout>
              </c:layout>
              <c:spPr>
                <a:noFill/>
                <a:ln w="25401">
                  <a:noFill/>
                </a:ln>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EC5C-4215-B8E4-04972C2AEAED}"/>
                </c:ext>
              </c:extLst>
            </c:dLbl>
            <c:dLbl>
              <c:idx val="2"/>
              <c:layout>
                <c:manualLayout>
                  <c:x val="9.6285678458232257E-2"/>
                  <c:y val="-2.1574973031283712E-2"/>
                </c:manualLayout>
              </c:layout>
              <c:spPr>
                <a:noFill/>
                <a:ln w="25401">
                  <a:noFill/>
                </a:ln>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EC5C-4215-B8E4-04972C2AEAED}"/>
                </c:ext>
              </c:extLst>
            </c:dLbl>
            <c:dLbl>
              <c:idx val="3"/>
              <c:layout>
                <c:manualLayout>
                  <c:x val="3.5753575357535754E-2"/>
                  <c:y val="-0.20504731861198738"/>
                </c:manualLayout>
              </c:layout>
              <c:spPr>
                <a:noFill/>
                <a:ln w="25401">
                  <a:noFill/>
                </a:ln>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EC5C-4215-B8E4-04972C2AEAED}"/>
                </c:ext>
              </c:extLst>
            </c:dLbl>
            <c:spPr>
              <a:noFill/>
              <a:ln w="25401">
                <a:noFill/>
              </a:ln>
            </c:spPr>
            <c:txPr>
              <a:bodyPr rot="0" spcFirstLastPara="1" vertOverflow="ellipsis" vert="horz" wrap="square" lIns="38100" tIns="19050" rIns="38100" bIns="19050" anchor="ctr" anchorCtr="1">
                <a:spAutoFit/>
              </a:bodyPr>
              <a:lstStyle/>
              <a:p>
                <a:pPr>
                  <a:defRPr sz="850"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Blad1!$A$3:$A$6</c:f>
              <c:strCache>
                <c:ptCount val="4"/>
                <c:pt idx="0">
                  <c:v>Justice and consumers</c:v>
                </c:pt>
                <c:pt idx="1">
                  <c:v>Internal market, industry, entrepreneurship and SMEs</c:v>
                </c:pt>
                <c:pt idx="2">
                  <c:v>Environment</c:v>
                </c:pt>
                <c:pt idx="3">
                  <c:v>Other</c:v>
                </c:pt>
              </c:strCache>
            </c:strRef>
          </c:cat>
          <c:val>
            <c:numRef>
              <c:f>Blad1!$B$3:$B$6</c:f>
              <c:numCache>
                <c:formatCode>General</c:formatCode>
                <c:ptCount val="4"/>
                <c:pt idx="0">
                  <c:v>13</c:v>
                </c:pt>
                <c:pt idx="1">
                  <c:v>13</c:v>
                </c:pt>
                <c:pt idx="2">
                  <c:v>8</c:v>
                </c:pt>
                <c:pt idx="3">
                  <c:v>27</c:v>
                </c:pt>
              </c:numCache>
            </c:numRef>
          </c:val>
          <c:extLst xmlns:c16r2="http://schemas.microsoft.com/office/drawing/2015/06/chart">
            <c:ext xmlns:c16="http://schemas.microsoft.com/office/drawing/2014/chart" uri="{C3380CC4-5D6E-409C-BE32-E72D297353CC}">
              <c16:uniqueId val="{00000009-EC5C-4215-B8E4-04972C2AEAED}"/>
            </c:ext>
          </c:extLst>
        </c:ser>
        <c:dLbls>
          <c:showLegendKey val="0"/>
          <c:showVal val="0"/>
          <c:showCatName val="0"/>
          <c:showSerName val="0"/>
          <c:showPercent val="0"/>
          <c:showBubbleSize val="0"/>
          <c:showLeaderLines val="0"/>
        </c:dLbls>
        <c:firstSliceAng val="349"/>
      </c:pieChart>
      <c:spPr>
        <a:noFill/>
        <a:ln w="25401">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spPr>
              <a:noFill/>
              <a:ln w="25392">
                <a:noFill/>
              </a:ln>
            </c:spPr>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General</c:formatCode>
                <c:ptCount val="5"/>
                <c:pt idx="0">
                  <c:v>32</c:v>
                </c:pt>
                <c:pt idx="1">
                  <c:v>32</c:v>
                </c:pt>
                <c:pt idx="2">
                  <c:v>26</c:v>
                </c:pt>
                <c:pt idx="3">
                  <c:v>23</c:v>
                </c:pt>
                <c:pt idx="4">
                  <c:v>4</c:v>
                </c:pt>
              </c:numCache>
            </c:numRef>
          </c:val>
          <c:smooth val="0"/>
          <c:extLst xmlns:c16r2="http://schemas.microsoft.com/office/drawing/2015/06/chart">
            <c:ext xmlns:c16="http://schemas.microsoft.com/office/drawing/2014/chart" uri="{C3380CC4-5D6E-409C-BE32-E72D297353CC}">
              <c16:uniqueId val="{00000000-E767-4687-B638-5F66E4715529}"/>
            </c:ext>
          </c:extLst>
        </c:ser>
        <c:dLbls>
          <c:showLegendKey val="0"/>
          <c:showVal val="0"/>
          <c:showCatName val="0"/>
          <c:showSerName val="0"/>
          <c:showPercent val="0"/>
          <c:showBubbleSize val="0"/>
        </c:dLbls>
        <c:marker val="1"/>
        <c:smooth val="0"/>
        <c:axId val="330742016"/>
        <c:axId val="330743808"/>
      </c:lineChart>
      <c:catAx>
        <c:axId val="330742016"/>
        <c:scaling>
          <c:orientation val="minMax"/>
        </c:scaling>
        <c:delete val="0"/>
        <c:axPos val="b"/>
        <c:numFmt formatCode="General" sourceLinked="1"/>
        <c:majorTickMark val="none"/>
        <c:minorTickMark val="none"/>
        <c:tickLblPos val="nextTo"/>
        <c:spPr>
          <a:noFill/>
          <a:ln w="12696"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30743808"/>
        <c:crosses val="autoZero"/>
        <c:auto val="1"/>
        <c:lblAlgn val="ctr"/>
        <c:lblOffset val="100"/>
        <c:noMultiLvlLbl val="0"/>
      </c:catAx>
      <c:valAx>
        <c:axId val="330743808"/>
        <c:scaling>
          <c:orientation val="minMax"/>
        </c:scaling>
        <c:delete val="1"/>
        <c:axPos val="l"/>
        <c:majorGridlines>
          <c:spPr>
            <a:ln w="9522" cap="flat" cmpd="sng" algn="ctr">
              <a:solidFill>
                <a:schemeClr val="tx1">
                  <a:lumMod val="15000"/>
                  <a:lumOff val="85000"/>
                </a:schemeClr>
              </a:solidFill>
              <a:round/>
            </a:ln>
            <a:effectLst/>
          </c:spPr>
        </c:majorGridlines>
        <c:numFmt formatCode="General" sourceLinked="1"/>
        <c:majorTickMark val="out"/>
        <c:minorTickMark val="none"/>
        <c:tickLblPos val="nextTo"/>
        <c:crossAx val="330742016"/>
        <c:crosses val="autoZero"/>
        <c:crossBetween val="between"/>
      </c:valAx>
      <c:spPr>
        <a:noFill/>
        <a:ln w="25392">
          <a:noFill/>
        </a:ln>
      </c:spPr>
    </c:plotArea>
    <c:plotVisOnly val="1"/>
    <c:dispBlanksAs val="gap"/>
    <c:showDLblsOverMax val="0"/>
  </c:chart>
  <c:spPr>
    <a:solidFill>
      <a:schemeClr val="bg1"/>
    </a:solidFill>
    <a:ln w="9522"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spPr>
              <a:noFill/>
              <a:ln w="25392">
                <a:noFill/>
              </a:ln>
            </c:spPr>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General</c:formatCode>
                <c:ptCount val="5"/>
                <c:pt idx="0">
                  <c:v>33</c:v>
                </c:pt>
                <c:pt idx="1">
                  <c:v>39</c:v>
                </c:pt>
                <c:pt idx="2">
                  <c:v>36</c:v>
                </c:pt>
                <c:pt idx="3">
                  <c:v>34</c:v>
                </c:pt>
                <c:pt idx="4">
                  <c:v>27</c:v>
                </c:pt>
              </c:numCache>
            </c:numRef>
          </c:val>
          <c:smooth val="0"/>
          <c:extLst xmlns:c16r2="http://schemas.microsoft.com/office/drawing/2015/06/chart">
            <c:ext xmlns:c16="http://schemas.microsoft.com/office/drawing/2014/chart" uri="{C3380CC4-5D6E-409C-BE32-E72D297353CC}">
              <c16:uniqueId val="{00000000-00B1-42C9-87C0-4F380DB09DB5}"/>
            </c:ext>
          </c:extLst>
        </c:ser>
        <c:dLbls>
          <c:showLegendKey val="0"/>
          <c:showVal val="0"/>
          <c:showCatName val="0"/>
          <c:showSerName val="0"/>
          <c:showPercent val="0"/>
          <c:showBubbleSize val="0"/>
        </c:dLbls>
        <c:marker val="1"/>
        <c:smooth val="0"/>
        <c:axId val="330854784"/>
        <c:axId val="330856320"/>
      </c:lineChart>
      <c:catAx>
        <c:axId val="330854784"/>
        <c:scaling>
          <c:orientation val="minMax"/>
        </c:scaling>
        <c:delete val="0"/>
        <c:axPos val="b"/>
        <c:numFmt formatCode="General" sourceLinked="1"/>
        <c:majorTickMark val="none"/>
        <c:minorTickMark val="none"/>
        <c:tickLblPos val="nextTo"/>
        <c:spPr>
          <a:noFill/>
          <a:ln w="12696"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30856320"/>
        <c:crosses val="autoZero"/>
        <c:auto val="1"/>
        <c:lblAlgn val="ctr"/>
        <c:lblOffset val="100"/>
        <c:noMultiLvlLbl val="0"/>
      </c:catAx>
      <c:valAx>
        <c:axId val="330856320"/>
        <c:scaling>
          <c:orientation val="minMax"/>
          <c:min val="20"/>
        </c:scaling>
        <c:delete val="1"/>
        <c:axPos val="l"/>
        <c:majorGridlines>
          <c:spPr>
            <a:ln w="9522" cap="flat" cmpd="sng" algn="ctr">
              <a:solidFill>
                <a:schemeClr val="tx1">
                  <a:lumMod val="15000"/>
                  <a:lumOff val="85000"/>
                </a:schemeClr>
              </a:solidFill>
              <a:round/>
            </a:ln>
            <a:effectLst/>
          </c:spPr>
        </c:majorGridlines>
        <c:numFmt formatCode="General" sourceLinked="1"/>
        <c:majorTickMark val="out"/>
        <c:minorTickMark val="none"/>
        <c:tickLblPos val="nextTo"/>
        <c:crossAx val="330854784"/>
        <c:crosses val="autoZero"/>
        <c:crossBetween val="between"/>
      </c:valAx>
      <c:spPr>
        <a:noFill/>
        <a:ln w="25392">
          <a:noFill/>
        </a:ln>
      </c:spPr>
    </c:plotArea>
    <c:plotVisOnly val="1"/>
    <c:dispBlanksAs val="gap"/>
    <c:showDLblsOverMax val="0"/>
  </c:chart>
  <c:spPr>
    <a:solidFill>
      <a:schemeClr val="bg1"/>
    </a:solidFill>
    <a:ln w="9522"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a:latin typeface="Arial" panose="020B0604020202020204" pitchFamily="34" charset="0"/>
                <a:cs typeface="Arial" panose="020B0604020202020204" pitchFamily="34" charset="0"/>
              </a:defRPr>
            </a:pPr>
            <a:r>
              <a:rPr lang="en-US" sz="1098" b="0" i="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4 EU Pilot files opened against </a:t>
            </a:r>
            <a:r>
              <a:rPr lang="en-US" sz="1098" b="0" i="0" u="none" strike="noStrike" kern="120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Slovakia</a:t>
            </a:r>
            <a:endParaRPr lang="en-GB" sz="1100">
              <a:solidFill>
                <a:srgbClr val="002060"/>
              </a:solidFill>
              <a:effectLst/>
              <a:latin typeface="Arial" panose="020B0604020202020204" pitchFamily="34" charset="0"/>
              <a:ea typeface="Verdana" panose="020B0604030504040204" pitchFamily="34" charset="0"/>
              <a:cs typeface="Arial" panose="020B0604020202020204" pitchFamily="34" charset="0"/>
            </a:endParaRPr>
          </a:p>
        </c:rich>
      </c:tx>
      <c:overlay val="0"/>
    </c:title>
    <c:autoTitleDeleted val="0"/>
    <c:plotArea>
      <c:layout/>
      <c:pieChart>
        <c:varyColors val="1"/>
        <c:ser>
          <c:idx val="0"/>
          <c:order val="0"/>
          <c:tx>
            <c:strRef>
              <c:f>Blad1!$B$1</c:f>
              <c:strCache>
                <c:ptCount val="1"/>
                <c:pt idx="0">
                  <c:v>[Number of new EU Pilot files ] EU Pilot files opened against [Member State]</c:v>
                </c:pt>
              </c:strCache>
            </c:strRef>
          </c:tx>
          <c:spPr>
            <a:scene3d>
              <a:camera prst="orthographicFront"/>
              <a:lightRig rig="threePt" dir="t"/>
            </a:scene3d>
            <a:sp3d>
              <a:bevelT w="63500" h="25400"/>
            </a:sp3d>
          </c:spPr>
          <c:dPt>
            <c:idx val="0"/>
            <c:bubble3D val="0"/>
            <c:spPr>
              <a:solidFill>
                <a:srgbClr val="E7511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ECF0-4E94-AD93-BE946316C405}"/>
              </c:ext>
            </c:extLst>
          </c:dPt>
          <c:dPt>
            <c:idx val="1"/>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ECF0-4E94-AD93-BE946316C405}"/>
              </c:ext>
            </c:extLst>
          </c:dPt>
          <c:dPt>
            <c:idx val="2"/>
            <c:bubble3D val="0"/>
            <c:spPr>
              <a:solidFill>
                <a:srgbClr val="37ACDE"/>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ECF0-4E94-AD93-BE946316C405}"/>
              </c:ext>
            </c:extLst>
          </c:dPt>
          <c:dPt>
            <c:idx val="3"/>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ECF0-4E94-AD93-BE946316C405}"/>
              </c:ext>
            </c:extLst>
          </c:dPt>
          <c:dPt>
            <c:idx val="4"/>
            <c:bubble3D val="0"/>
            <c:spPr>
              <a:solidFill>
                <a:srgbClr val="FF990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ECF0-4E94-AD93-BE946316C405}"/>
              </c:ext>
            </c:extLst>
          </c:dPt>
          <c:dLbls>
            <c:dLbl>
              <c:idx val="0"/>
              <c:layout>
                <c:manualLayout>
                  <c:x val="0.13117550879910503"/>
                  <c:y val="-6.749740394600208E-2"/>
                </c:manualLayout>
              </c:layout>
              <c:spPr/>
              <c:txPr>
                <a:bodyPr/>
                <a:lstStyle/>
                <a:p>
                  <a:pPr>
                    <a:defRPr sz="849">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ECF0-4E94-AD93-BE946316C405}"/>
                </c:ext>
              </c:extLst>
            </c:dLbl>
            <c:dLbl>
              <c:idx val="1"/>
              <c:layout>
                <c:manualLayout>
                  <c:x val="-8.2256176823577339E-3"/>
                  <c:y val="2.0289857387864589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ECF0-4E94-AD93-BE946316C405}"/>
                </c:ext>
              </c:extLst>
            </c:dLbl>
            <c:dLbl>
              <c:idx val="2"/>
              <c:layout>
                <c:manualLayout>
                  <c:x val="-4.9228518566326748E-2"/>
                  <c:y val="-0.13415712054684747"/>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ECF0-4E94-AD93-BE946316C405}"/>
                </c:ext>
              </c:extLst>
            </c:dLbl>
            <c:dLbl>
              <c:idx val="3"/>
              <c:layout>
                <c:manualLayout>
                  <c:x val="8.2256176823577339E-3"/>
                  <c:y val="-3.6673219237269232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CF0-4E94-AD93-BE946316C405}"/>
                </c:ext>
              </c:extLst>
            </c:dLbl>
            <c:spPr>
              <a:noFill/>
              <a:ln w="25361">
                <a:noFill/>
              </a:ln>
            </c:spPr>
            <c:txPr>
              <a:bodyPr/>
              <a:lstStyle/>
              <a:p>
                <a:pPr>
                  <a:defRPr sz="899">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Blad1!$A$3:$A$5</c:f>
              <c:strCache>
                <c:ptCount val="3"/>
                <c:pt idx="0">
                  <c:v>Energy</c:v>
                </c:pt>
                <c:pt idx="1">
                  <c:v>Environment</c:v>
                </c:pt>
                <c:pt idx="2">
                  <c:v>Climate action</c:v>
                </c:pt>
              </c:strCache>
            </c:strRef>
          </c:cat>
          <c:val>
            <c:numRef>
              <c:f>Blad1!$B$3:$B$5</c:f>
              <c:numCache>
                <c:formatCode>General</c:formatCode>
                <c:ptCount val="3"/>
                <c:pt idx="0">
                  <c:v>1</c:v>
                </c:pt>
                <c:pt idx="1">
                  <c:v>2</c:v>
                </c:pt>
                <c:pt idx="2">
                  <c:v>1</c:v>
                </c:pt>
              </c:numCache>
            </c:numRef>
          </c:val>
          <c:extLst xmlns:c16r2="http://schemas.microsoft.com/office/drawing/2015/06/chart">
            <c:ext xmlns:c16="http://schemas.microsoft.com/office/drawing/2014/chart" uri="{C3380CC4-5D6E-409C-BE32-E72D297353CC}">
              <c16:uniqueId val="{0000000A-ECF0-4E94-AD93-BE946316C405}"/>
            </c:ext>
          </c:extLst>
        </c:ser>
        <c:dLbls>
          <c:showLegendKey val="0"/>
          <c:showVal val="0"/>
          <c:showCatName val="0"/>
          <c:showSerName val="0"/>
          <c:showPercent val="0"/>
          <c:showBubbleSize val="0"/>
          <c:showLeaderLines val="0"/>
        </c:dLbls>
        <c:firstSliceAng val="125"/>
      </c:pieChart>
      <c:spPr>
        <a:noFill/>
        <a:ln w="25361">
          <a:noFill/>
        </a:ln>
      </c:spPr>
    </c:plotArea>
    <c:plotVisOnly val="1"/>
    <c:dispBlanksAs val="gap"/>
    <c:showDLblsOverMax val="0"/>
  </c:chart>
  <c:spPr>
    <a:solidFill>
      <a:schemeClr val="bg1"/>
    </a:solidFill>
    <a:ln w="951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768166089965398E-2"/>
          <c:y val="7.6838638858397368E-2"/>
          <c:w val="0.9391003460207612"/>
          <c:h val="0.69832018116286509"/>
        </c:manualLayout>
      </c:layout>
      <c:lineChart>
        <c:grouping val="standard"/>
        <c:varyColors val="0"/>
        <c:ser>
          <c:idx val="0"/>
          <c:order val="0"/>
          <c:tx>
            <c:strRef>
              <c:f>Blad1!$B$2</c:f>
              <c:strCache>
                <c:ptCount val="1"/>
                <c:pt idx="0">
                  <c:v>Slovakia</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2"/>
              <c:layout>
                <c:manualLayout>
                  <c:x val="-5.8354260949939347E-2"/>
                  <c:y val="-7.415000345351567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6A75-4906-891E-8968C7D345C7}"/>
                </c:ext>
              </c:extLst>
            </c:dLbl>
            <c:dLbl>
              <c:idx val="4"/>
              <c:layout>
                <c:manualLayout>
                  <c:x val="-5.8354260949939396E-2"/>
                  <c:y val="-6.318509117281391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6A75-4906-891E-8968C7D345C7}"/>
                </c:ext>
              </c:extLst>
            </c:dLbl>
            <c:spPr>
              <a:noFill/>
              <a:ln w="25418">
                <a:noFill/>
              </a:ln>
            </c:spPr>
            <c:txPr>
              <a:bodyPr/>
              <a:lstStyle/>
              <a:p>
                <a:pPr>
                  <a:defRPr sz="901">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0%</c:formatCode>
                <c:ptCount val="5"/>
                <c:pt idx="0">
                  <c:v>0.61</c:v>
                </c:pt>
                <c:pt idx="1">
                  <c:v>0.7</c:v>
                </c:pt>
                <c:pt idx="2">
                  <c:v>0.76</c:v>
                </c:pt>
                <c:pt idx="3">
                  <c:v>0.6</c:v>
                </c:pt>
                <c:pt idx="4">
                  <c:v>0.8</c:v>
                </c:pt>
              </c:numCache>
            </c:numRef>
          </c:val>
          <c:smooth val="0"/>
          <c:extLst xmlns:c16r2="http://schemas.microsoft.com/office/drawing/2015/06/chart">
            <c:ext xmlns:c16="http://schemas.microsoft.com/office/drawing/2014/chart" uri="{C3380CC4-5D6E-409C-BE32-E72D297353CC}">
              <c16:uniqueId val="{00000002-4411-47FC-BB1F-E0BAA71E75EF}"/>
            </c:ext>
          </c:extLst>
        </c:ser>
        <c:ser>
          <c:idx val="1"/>
          <c:order val="1"/>
          <c:tx>
            <c:strRef>
              <c:f>Blad1!$C$2</c:f>
              <c:strCache>
                <c:ptCount val="1"/>
                <c:pt idx="0">
                  <c:v>General rate for all Member States</c:v>
                </c:pt>
              </c:strCache>
            </c:strRef>
          </c:tx>
          <c:spPr>
            <a:ln w="25418">
              <a:solidFill>
                <a:srgbClr val="92D050"/>
              </a:solidFill>
            </a:ln>
          </c:spPr>
          <c:marker>
            <c:symbol val="square"/>
            <c:size val="5"/>
            <c:spPr>
              <a:solidFill>
                <a:srgbClr val="92D050"/>
              </a:solidFill>
              <a:ln>
                <a:solidFill>
                  <a:srgbClr val="92D050"/>
                </a:solidFill>
              </a:ln>
            </c:spPr>
          </c:marker>
          <c:dLbls>
            <c:dLbl>
              <c:idx val="2"/>
              <c:layout>
                <c:manualLayout>
                  <c:x val="-4.7280063829230647E-2"/>
                  <c:y val="6.866797900262466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6A75-4906-891E-8968C7D345C7}"/>
                </c:ext>
              </c:extLst>
            </c:dLbl>
            <c:dLbl>
              <c:idx val="4"/>
              <c:layout>
                <c:manualLayout>
                  <c:x val="-4.4511514549053464E-2"/>
                  <c:y val="6.866797900262466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6A75-4906-891E-8968C7D345C7}"/>
                </c:ext>
              </c:extLst>
            </c:dLbl>
            <c:spPr>
              <a:noFill/>
              <a:ln w="25418">
                <a:noFill/>
              </a:ln>
            </c:spPr>
            <c:txPr>
              <a:bodyPr/>
              <a:lstStyle/>
              <a:p>
                <a:pPr>
                  <a:defRPr sz="901">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2013</c:v>
                </c:pt>
                <c:pt idx="1">
                  <c:v>2014</c:v>
                </c:pt>
                <c:pt idx="2">
                  <c:v>2015</c:v>
                </c:pt>
                <c:pt idx="3">
                  <c:v>2016</c:v>
                </c:pt>
                <c:pt idx="4">
                  <c:v>2017</c:v>
                </c:pt>
              </c:numCache>
            </c:numRef>
          </c:cat>
          <c:val>
            <c:numRef>
              <c:f>Blad1!$C$3:$C$7</c:f>
              <c:numCache>
                <c:formatCode>0%</c:formatCode>
                <c:ptCount val="5"/>
                <c:pt idx="0">
                  <c:v>0.7</c:v>
                </c:pt>
                <c:pt idx="1">
                  <c:v>0.75</c:v>
                </c:pt>
                <c:pt idx="2">
                  <c:v>0.75</c:v>
                </c:pt>
                <c:pt idx="3">
                  <c:v>0.72</c:v>
                </c:pt>
                <c:pt idx="4">
                  <c:v>0.77</c:v>
                </c:pt>
              </c:numCache>
            </c:numRef>
          </c:val>
          <c:smooth val="0"/>
          <c:extLst xmlns:c16r2="http://schemas.microsoft.com/office/drawing/2015/06/chart">
            <c:ext xmlns:c16="http://schemas.microsoft.com/office/drawing/2014/chart" uri="{C3380CC4-5D6E-409C-BE32-E72D297353CC}">
              <c16:uniqueId val="{00000005-4411-47FC-BB1F-E0BAA71E75EF}"/>
            </c:ext>
          </c:extLst>
        </c:ser>
        <c:dLbls>
          <c:showLegendKey val="0"/>
          <c:showVal val="0"/>
          <c:showCatName val="0"/>
          <c:showSerName val="0"/>
          <c:showPercent val="0"/>
          <c:showBubbleSize val="0"/>
        </c:dLbls>
        <c:marker val="1"/>
        <c:smooth val="0"/>
        <c:axId val="331184768"/>
        <c:axId val="331211136"/>
      </c:lineChart>
      <c:catAx>
        <c:axId val="331184768"/>
        <c:scaling>
          <c:orientation val="minMax"/>
        </c:scaling>
        <c:delete val="0"/>
        <c:axPos val="b"/>
        <c:numFmt formatCode="General" sourceLinked="1"/>
        <c:majorTickMark val="none"/>
        <c:minorTickMark val="none"/>
        <c:tickLblPos val="nextTo"/>
        <c:spPr>
          <a:noFill/>
          <a:ln w="12709" cap="flat" cmpd="sng" algn="ctr">
            <a:solidFill>
              <a:schemeClr val="tx1">
                <a:lumMod val="15000"/>
                <a:lumOff val="85000"/>
              </a:schemeClr>
            </a:solidFill>
            <a:round/>
          </a:ln>
          <a:effectLst/>
        </c:spPr>
        <c:txPr>
          <a:bodyPr rot="-60000000" spcFirstLastPara="1" vertOverflow="ellipsis" vert="horz" wrap="square" anchor="ctr" anchorCtr="1"/>
          <a:lstStyle/>
          <a:p>
            <a:pPr>
              <a:defRPr sz="901"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31211136"/>
        <c:crosses val="autoZero"/>
        <c:auto val="1"/>
        <c:lblAlgn val="ctr"/>
        <c:lblOffset val="100"/>
        <c:noMultiLvlLbl val="0"/>
      </c:catAx>
      <c:valAx>
        <c:axId val="331211136"/>
        <c:scaling>
          <c:orientation val="minMax"/>
          <c:min val="0.5"/>
        </c:scaling>
        <c:delete val="1"/>
        <c:axPos val="l"/>
        <c:majorGridlines>
          <c:spPr>
            <a:ln w="9532" cap="flat" cmpd="sng" algn="ctr">
              <a:solidFill>
                <a:schemeClr val="tx1">
                  <a:lumMod val="15000"/>
                  <a:lumOff val="85000"/>
                </a:schemeClr>
              </a:solidFill>
              <a:round/>
            </a:ln>
            <a:effectLst/>
          </c:spPr>
        </c:majorGridlines>
        <c:numFmt formatCode="0%" sourceLinked="1"/>
        <c:majorTickMark val="out"/>
        <c:minorTickMark val="none"/>
        <c:tickLblPos val="nextTo"/>
        <c:crossAx val="331184768"/>
        <c:crosses val="autoZero"/>
        <c:crossBetween val="between"/>
      </c:valAx>
      <c:spPr>
        <a:noFill/>
        <a:ln w="25418">
          <a:noFill/>
        </a:ln>
      </c:spPr>
    </c:plotArea>
    <c:legend>
      <c:legendPos val="b"/>
      <c:overlay val="0"/>
      <c:txPr>
        <a:bodyPr/>
        <a:lstStyle/>
        <a:p>
          <a:pPr>
            <a:defRPr sz="901">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32"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Lbls>
            <c:spPr>
              <a:noFill/>
              <a:ln w="25375">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Blad1!$A$4:$A$8</c:f>
              <c:numCache>
                <c:formatCode>General</c:formatCode>
                <c:ptCount val="5"/>
                <c:pt idx="0">
                  <c:v>2013</c:v>
                </c:pt>
                <c:pt idx="1">
                  <c:v>2014</c:v>
                </c:pt>
                <c:pt idx="2">
                  <c:v>2015</c:v>
                </c:pt>
                <c:pt idx="3">
                  <c:v>2016</c:v>
                </c:pt>
                <c:pt idx="4">
                  <c:v>2017</c:v>
                </c:pt>
              </c:numCache>
            </c:numRef>
          </c:cat>
          <c:val>
            <c:numRef>
              <c:f>Blad1!$B$4:$B$8</c:f>
              <c:numCache>
                <c:formatCode>General</c:formatCode>
                <c:ptCount val="5"/>
                <c:pt idx="0">
                  <c:v>38</c:v>
                </c:pt>
                <c:pt idx="1">
                  <c:v>37</c:v>
                </c:pt>
                <c:pt idx="2">
                  <c:v>46</c:v>
                </c:pt>
                <c:pt idx="3">
                  <c:v>41</c:v>
                </c:pt>
                <c:pt idx="4">
                  <c:v>48</c:v>
                </c:pt>
              </c:numCache>
            </c:numRef>
          </c:val>
          <c:smooth val="0"/>
          <c:extLst xmlns:c16r2="http://schemas.microsoft.com/office/drawing/2015/06/chart">
            <c:ext xmlns:c16="http://schemas.microsoft.com/office/drawing/2014/chart" uri="{C3380CC4-5D6E-409C-BE32-E72D297353CC}">
              <c16:uniqueId val="{00000002-8F23-43E9-AF78-D563478978D9}"/>
            </c:ext>
          </c:extLst>
        </c:ser>
        <c:dLbls>
          <c:showLegendKey val="0"/>
          <c:showVal val="0"/>
          <c:showCatName val="0"/>
          <c:showSerName val="0"/>
          <c:showPercent val="0"/>
          <c:showBubbleSize val="0"/>
        </c:dLbls>
        <c:marker val="1"/>
        <c:smooth val="0"/>
        <c:axId val="331478144"/>
        <c:axId val="331479680"/>
      </c:lineChart>
      <c:catAx>
        <c:axId val="331478144"/>
        <c:scaling>
          <c:orientation val="minMax"/>
        </c:scaling>
        <c:delete val="0"/>
        <c:axPos val="b"/>
        <c:numFmt formatCode="General" sourceLinked="1"/>
        <c:majorTickMark val="none"/>
        <c:minorTickMark val="none"/>
        <c:tickLblPos val="nextTo"/>
        <c:spPr>
          <a:noFill/>
          <a:ln w="12687"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31479680"/>
        <c:crosses val="autoZero"/>
        <c:auto val="1"/>
        <c:lblAlgn val="ctr"/>
        <c:lblOffset val="100"/>
        <c:noMultiLvlLbl val="0"/>
      </c:catAx>
      <c:valAx>
        <c:axId val="331479680"/>
        <c:scaling>
          <c:orientation val="minMax"/>
          <c:min val="30"/>
        </c:scaling>
        <c:delete val="1"/>
        <c:axPos val="l"/>
        <c:majorGridlines>
          <c:spPr>
            <a:ln w="9516" cap="flat" cmpd="sng" algn="ctr">
              <a:solidFill>
                <a:schemeClr val="tx1">
                  <a:lumMod val="15000"/>
                  <a:lumOff val="85000"/>
                </a:schemeClr>
              </a:solidFill>
              <a:round/>
            </a:ln>
            <a:effectLst/>
          </c:spPr>
        </c:majorGridlines>
        <c:numFmt formatCode="General" sourceLinked="1"/>
        <c:majorTickMark val="out"/>
        <c:minorTickMark val="none"/>
        <c:tickLblPos val="nextTo"/>
        <c:crossAx val="331478144"/>
        <c:crosses val="autoZero"/>
        <c:crossBetween val="between"/>
      </c:valAx>
      <c:spPr>
        <a:noFill/>
        <a:ln w="25375">
          <a:noFill/>
        </a:ln>
      </c:spPr>
    </c:plotArea>
    <c:plotVisOnly val="1"/>
    <c:dispBlanksAs val="gap"/>
    <c:showDLblsOverMax val="0"/>
  </c:chart>
  <c:spPr>
    <a:solidFill>
      <a:schemeClr val="bg1"/>
    </a:solidFill>
    <a:ln w="951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9"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US" sz="1099" b="0" baseline="0">
                <a:solidFill>
                  <a:srgbClr val="002060"/>
                </a:solidFill>
                <a:latin typeface="Arial" panose="020B0604020202020204" pitchFamily="34" charset="0"/>
                <a:ea typeface="Verdana" panose="020B0604030504040204" pitchFamily="34" charset="0"/>
                <a:cs typeface="Arial" panose="020B0604020202020204" pitchFamily="34" charset="0"/>
              </a:rPr>
              <a:t>21 new </a:t>
            </a:r>
            <a:r>
              <a:rPr lang="en-US" sz="1099"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against</a:t>
            </a:r>
            <a:r>
              <a:rPr lang="en-US" sz="1099" b="0" baseline="0">
                <a:solidFill>
                  <a:srgbClr val="002060"/>
                </a:solidFill>
                <a:latin typeface="Arial" panose="020B0604020202020204" pitchFamily="34" charset="0"/>
                <a:ea typeface="Verdana" panose="020B0604030504040204" pitchFamily="34" charset="0"/>
                <a:cs typeface="Arial" panose="020B0604020202020204" pitchFamily="34" charset="0"/>
              </a:rPr>
              <a:t> </a:t>
            </a:r>
            <a:r>
              <a:rPr lang="en-US" sz="10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Slovakia</a:t>
            </a:r>
            <a:endParaRPr lang="en-US"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6218115768277933"/>
          <c:y val="3.2786645669291341E-2"/>
        </c:manualLayout>
      </c:layout>
      <c:overlay val="0"/>
      <c:spPr>
        <a:noFill/>
        <a:ln w="25383">
          <a:noFill/>
        </a:ln>
      </c:spPr>
    </c:title>
    <c:autoTitleDeleted val="0"/>
    <c:plotArea>
      <c:layout/>
      <c:pieChart>
        <c:varyColors val="1"/>
        <c:ser>
          <c:idx val="0"/>
          <c:order val="0"/>
          <c:tx>
            <c:strRef>
              <c:f>Blad1!$B$1</c:f>
              <c:strCache>
                <c:ptCount val="1"/>
                <c:pt idx="0">
                  <c:v>[Number of infringement cases] infringement cases against Austria</c:v>
                </c:pt>
              </c:strCache>
            </c:strRef>
          </c:tx>
          <c:spPr>
            <a:scene3d>
              <a:camera prst="orthographicFront"/>
              <a:lightRig rig="threePt" dir="t"/>
            </a:scene3d>
            <a:sp3d>
              <a:bevelT w="63500" h="25400"/>
            </a:sp3d>
          </c:spPr>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D0B1-4E55-AD7F-CF3B0680DF58}"/>
              </c:ext>
            </c:extLst>
          </c:dPt>
          <c:dPt>
            <c:idx val="1"/>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D0B1-4E55-AD7F-CF3B0680DF58}"/>
              </c:ext>
            </c:extLst>
          </c:dPt>
          <c:dPt>
            <c:idx val="2"/>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D0B1-4E55-AD7F-CF3B0680DF58}"/>
              </c:ext>
            </c:extLst>
          </c:dPt>
          <c:dPt>
            <c:idx val="3"/>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D0B1-4E55-AD7F-CF3B0680DF58}"/>
              </c:ext>
            </c:extLst>
          </c:dPt>
          <c:dPt>
            <c:idx val="4"/>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D0B1-4E55-AD7F-CF3B0680DF58}"/>
              </c:ext>
            </c:extLst>
          </c:dPt>
          <c:dPt>
            <c:idx val="5"/>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D0B1-4E55-AD7F-CF3B0680DF58}"/>
              </c:ext>
            </c:extLst>
          </c:dPt>
          <c:dPt>
            <c:idx val="6"/>
            <c:bubble3D val="0"/>
            <c:spPr>
              <a:solidFill>
                <a:srgbClr val="7030A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D-D0B1-4E55-AD7F-CF3B0680DF58}"/>
              </c:ext>
            </c:extLst>
          </c:dPt>
          <c:dPt>
            <c:idx val="7"/>
            <c:bubble3D val="0"/>
            <c:extLst xmlns:c16r2="http://schemas.microsoft.com/office/drawing/2015/06/chart">
              <c:ext xmlns:c16="http://schemas.microsoft.com/office/drawing/2014/chart" uri="{C3380CC4-5D6E-409C-BE32-E72D297353CC}">
                <c16:uniqueId val="{0000000E-D0B1-4E55-AD7F-CF3B0680DF58}"/>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0B1-4E55-AD7F-CF3B0680DF58}"/>
                </c:ext>
              </c:extLst>
            </c:dLbl>
            <c:dLbl>
              <c:idx val="1"/>
              <c:layout>
                <c:manualLayout>
                  <c:x val="-3.8824195353238049E-2"/>
                  <c:y val="3.9394454538831253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D0B1-4E55-AD7F-CF3B0680DF58}"/>
                </c:ext>
              </c:extLst>
            </c:dLbl>
            <c:dLbl>
              <c:idx val="2"/>
              <c:layout>
                <c:manualLayout>
                  <c:x val="-2.4958402662229616E-2"/>
                  <c:y val="6.5573770491803282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D0B1-4E55-AD7F-CF3B0680DF58}"/>
                </c:ext>
              </c:extLst>
            </c:dLbl>
            <c:dLbl>
              <c:idx val="3"/>
              <c:layout>
                <c:manualLayout>
                  <c:x val="1.7579199027982172E-2"/>
                  <c:y val="4.9851307106570965E-4"/>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D0B1-4E55-AD7F-CF3B0680DF58}"/>
                </c:ext>
              </c:extLst>
            </c:dLbl>
            <c:dLbl>
              <c:idx val="4"/>
              <c:layout>
                <c:manualLayout>
                  <c:x val="4.433958476264295E-2"/>
                  <c:y val="-3.7977953270470939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D0B1-4E55-AD7F-CF3B0680DF58}"/>
                </c:ext>
              </c:extLst>
            </c:dLbl>
            <c:dLbl>
              <c:idx val="5"/>
              <c:layout>
                <c:manualLayout>
                  <c:x val="-6.37648844594111E-2"/>
                  <c:y val="-3.7668866335354911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D0B1-4E55-AD7F-CF3B0680DF58}"/>
                </c:ext>
              </c:extLst>
            </c:dLbl>
            <c:dLbl>
              <c:idx val="6"/>
              <c:layout>
                <c:manualLayout>
                  <c:x val="-4.7112663639585287E-2"/>
                  <c:y val="-9.5331683397836833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D0B1-4E55-AD7F-CF3B0680DF58}"/>
                </c:ext>
              </c:extLst>
            </c:dLbl>
            <c:spPr>
              <a:noFill/>
              <a:ln w="25383">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Blad1!$A$2:$A$9</c:f>
              <c:strCache>
                <c:ptCount val="7"/>
                <c:pt idx="0">
                  <c:v>Policy Area</c:v>
                </c:pt>
                <c:pt idx="1">
                  <c:v>Environment</c:v>
                </c:pt>
                <c:pt idx="2">
                  <c:v>Mobility and transport</c:v>
                </c:pt>
                <c:pt idx="3">
                  <c:v>Internal market, industry, entrepreneurship and SMEs</c:v>
                </c:pt>
                <c:pt idx="4">
                  <c:v>Justice and consumers</c:v>
                </c:pt>
                <c:pt idx="5">
                  <c:v>Other</c:v>
                </c:pt>
                <c:pt idx="6">
                  <c:v>Financial stability, financial services and Capital Markets Union</c:v>
                </c:pt>
              </c:strCache>
            </c:strRef>
          </c:cat>
          <c:val>
            <c:numRef>
              <c:f>Blad1!$B$2:$B$9</c:f>
              <c:numCache>
                <c:formatCode>General</c:formatCode>
                <c:ptCount val="8"/>
                <c:pt idx="0">
                  <c:v>0</c:v>
                </c:pt>
                <c:pt idx="1">
                  <c:v>6</c:v>
                </c:pt>
                <c:pt idx="2">
                  <c:v>3</c:v>
                </c:pt>
                <c:pt idx="3">
                  <c:v>3</c:v>
                </c:pt>
                <c:pt idx="4">
                  <c:v>3</c:v>
                </c:pt>
                <c:pt idx="5">
                  <c:v>3</c:v>
                </c:pt>
                <c:pt idx="6">
                  <c:v>3</c:v>
                </c:pt>
              </c:numCache>
            </c:numRef>
          </c:val>
          <c:extLst xmlns:c16r2="http://schemas.microsoft.com/office/drawing/2015/06/chart">
            <c:ext xmlns:c16="http://schemas.microsoft.com/office/drawing/2014/chart" uri="{C3380CC4-5D6E-409C-BE32-E72D297353CC}">
              <c16:uniqueId val="{0000000F-D0B1-4E55-AD7F-CF3B0680DF58}"/>
            </c:ext>
          </c:extLst>
        </c:ser>
        <c:dLbls>
          <c:showLegendKey val="0"/>
          <c:showVal val="0"/>
          <c:showCatName val="0"/>
          <c:showSerName val="0"/>
          <c:showPercent val="0"/>
          <c:showBubbleSize val="0"/>
          <c:showLeaderLines val="0"/>
        </c:dLbls>
        <c:firstSliceAng val="273"/>
      </c:pieChart>
      <c:spPr>
        <a:noFill/>
        <a:ln w="25383">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4.4732652220125374E-2"/>
                  <c:y val="5.889550968291126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6DF2-4604-BED9-1EC087A0F1A2}"/>
                </c:ext>
              </c:extLst>
            </c:dLbl>
            <c:spPr>
              <a:noFill/>
              <a:ln w="25373">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Blad1!$A$2:$A$6</c:f>
              <c:numCache>
                <c:formatCode>General</c:formatCode>
                <c:ptCount val="5"/>
                <c:pt idx="0">
                  <c:v>2013</c:v>
                </c:pt>
                <c:pt idx="1">
                  <c:v>2014</c:v>
                </c:pt>
                <c:pt idx="2">
                  <c:v>2015</c:v>
                </c:pt>
                <c:pt idx="3">
                  <c:v>2016</c:v>
                </c:pt>
                <c:pt idx="4">
                  <c:v>2017</c:v>
                </c:pt>
              </c:numCache>
            </c:numRef>
          </c:cat>
          <c:val>
            <c:numRef>
              <c:f>Blad1!$B$2:$B$6</c:f>
              <c:numCache>
                <c:formatCode>General</c:formatCode>
                <c:ptCount val="5"/>
                <c:pt idx="0">
                  <c:v>11</c:v>
                </c:pt>
                <c:pt idx="1">
                  <c:v>8</c:v>
                </c:pt>
                <c:pt idx="2">
                  <c:v>15</c:v>
                </c:pt>
                <c:pt idx="3">
                  <c:v>16</c:v>
                </c:pt>
                <c:pt idx="4">
                  <c:v>19</c:v>
                </c:pt>
              </c:numCache>
            </c:numRef>
          </c:val>
          <c:smooth val="0"/>
          <c:extLst xmlns:c16r2="http://schemas.microsoft.com/office/drawing/2015/06/chart">
            <c:ext xmlns:c16="http://schemas.microsoft.com/office/drawing/2014/chart" uri="{C3380CC4-5D6E-409C-BE32-E72D297353CC}">
              <c16:uniqueId val="{00000001-6DF2-4604-BED9-1EC087A0F1A2}"/>
            </c:ext>
          </c:extLst>
        </c:ser>
        <c:dLbls>
          <c:showLegendKey val="0"/>
          <c:showVal val="0"/>
          <c:showCatName val="0"/>
          <c:showSerName val="0"/>
          <c:showPercent val="0"/>
          <c:showBubbleSize val="0"/>
        </c:dLbls>
        <c:marker val="1"/>
        <c:smooth val="0"/>
        <c:axId val="331631616"/>
        <c:axId val="331633408"/>
      </c:lineChart>
      <c:catAx>
        <c:axId val="331631616"/>
        <c:scaling>
          <c:orientation val="minMax"/>
        </c:scaling>
        <c:delete val="0"/>
        <c:axPos val="b"/>
        <c:numFmt formatCode="General" sourceLinked="1"/>
        <c:majorTickMark val="none"/>
        <c:minorTickMark val="none"/>
        <c:tickLblPos val="nextTo"/>
        <c:spPr>
          <a:noFill/>
          <a:ln w="12686"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31633408"/>
        <c:crosses val="autoZero"/>
        <c:auto val="1"/>
        <c:lblAlgn val="ctr"/>
        <c:lblOffset val="100"/>
        <c:noMultiLvlLbl val="0"/>
      </c:catAx>
      <c:valAx>
        <c:axId val="331633408"/>
        <c:scaling>
          <c:orientation val="minMax"/>
        </c:scaling>
        <c:delete val="1"/>
        <c:axPos val="l"/>
        <c:majorGridlines>
          <c:spPr>
            <a:ln w="9515" cap="flat" cmpd="sng" algn="ctr">
              <a:solidFill>
                <a:schemeClr val="tx1">
                  <a:lumMod val="15000"/>
                  <a:lumOff val="85000"/>
                </a:schemeClr>
              </a:solidFill>
              <a:round/>
            </a:ln>
            <a:effectLst/>
          </c:spPr>
        </c:majorGridlines>
        <c:numFmt formatCode="General" sourceLinked="1"/>
        <c:majorTickMark val="out"/>
        <c:minorTickMark val="none"/>
        <c:tickLblPos val="nextTo"/>
        <c:crossAx val="331631616"/>
        <c:crosses val="autoZero"/>
        <c:crossBetween val="between"/>
      </c:valAx>
      <c:spPr>
        <a:noFill/>
        <a:ln w="25373">
          <a:noFill/>
        </a:ln>
      </c:spPr>
    </c:plotArea>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4.1977831283486255E-2"/>
                  <c:y val="6.452614031354178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6764-4401-B0A6-FC7B988490D7}"/>
                </c:ext>
              </c:extLst>
            </c:dLbl>
            <c:spPr>
              <a:noFill/>
              <a:ln w="25392">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Blad1!$A$2:$A$6</c:f>
              <c:numCache>
                <c:formatCode>General</c:formatCode>
                <c:ptCount val="5"/>
                <c:pt idx="0">
                  <c:v>2013</c:v>
                </c:pt>
                <c:pt idx="1">
                  <c:v>2014</c:v>
                </c:pt>
                <c:pt idx="2">
                  <c:v>2015</c:v>
                </c:pt>
                <c:pt idx="3">
                  <c:v>2016</c:v>
                </c:pt>
                <c:pt idx="4">
                  <c:v>2017</c:v>
                </c:pt>
              </c:numCache>
            </c:numRef>
          </c:cat>
          <c:val>
            <c:numRef>
              <c:f>Blad1!$B$2:$B$6</c:f>
              <c:numCache>
                <c:formatCode>General</c:formatCode>
                <c:ptCount val="5"/>
                <c:pt idx="0">
                  <c:v>15</c:v>
                </c:pt>
                <c:pt idx="1">
                  <c:v>12</c:v>
                </c:pt>
                <c:pt idx="2">
                  <c:v>15</c:v>
                </c:pt>
                <c:pt idx="3">
                  <c:v>15</c:v>
                </c:pt>
                <c:pt idx="4">
                  <c:v>14</c:v>
                </c:pt>
              </c:numCache>
            </c:numRef>
          </c:val>
          <c:smooth val="0"/>
          <c:extLst xmlns:c16r2="http://schemas.microsoft.com/office/drawing/2015/06/chart">
            <c:ext xmlns:c16="http://schemas.microsoft.com/office/drawing/2014/chart" uri="{C3380CC4-5D6E-409C-BE32-E72D297353CC}">
              <c16:uniqueId val="{00000001-6764-4401-B0A6-FC7B988490D7}"/>
            </c:ext>
          </c:extLst>
        </c:ser>
        <c:dLbls>
          <c:showLegendKey val="0"/>
          <c:showVal val="0"/>
          <c:showCatName val="0"/>
          <c:showSerName val="0"/>
          <c:showPercent val="0"/>
          <c:showBubbleSize val="0"/>
        </c:dLbls>
        <c:marker val="1"/>
        <c:smooth val="0"/>
        <c:axId val="331655040"/>
        <c:axId val="331656576"/>
      </c:lineChart>
      <c:catAx>
        <c:axId val="331655040"/>
        <c:scaling>
          <c:orientation val="minMax"/>
        </c:scaling>
        <c:delete val="0"/>
        <c:axPos val="b"/>
        <c:numFmt formatCode="General" sourceLinked="1"/>
        <c:majorTickMark val="none"/>
        <c:minorTickMark val="none"/>
        <c:tickLblPos val="nextTo"/>
        <c:spPr>
          <a:noFill/>
          <a:ln w="12696"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31656576"/>
        <c:crosses val="autoZero"/>
        <c:auto val="1"/>
        <c:lblAlgn val="ctr"/>
        <c:lblOffset val="100"/>
        <c:noMultiLvlLbl val="0"/>
      </c:catAx>
      <c:valAx>
        <c:axId val="331656576"/>
        <c:scaling>
          <c:orientation val="minMax"/>
        </c:scaling>
        <c:delete val="1"/>
        <c:axPos val="l"/>
        <c:majorGridlines>
          <c:spPr>
            <a:ln w="9522" cap="flat" cmpd="sng" algn="ctr">
              <a:solidFill>
                <a:schemeClr val="tx1">
                  <a:lumMod val="15000"/>
                  <a:lumOff val="85000"/>
                </a:schemeClr>
              </a:solidFill>
              <a:round/>
            </a:ln>
            <a:effectLst/>
          </c:spPr>
        </c:majorGridlines>
        <c:numFmt formatCode="General" sourceLinked="1"/>
        <c:majorTickMark val="out"/>
        <c:minorTickMark val="none"/>
        <c:tickLblPos val="nextTo"/>
        <c:crossAx val="331655040"/>
        <c:crosses val="autoZero"/>
        <c:crossBetween val="between"/>
      </c:valAx>
      <c:spPr>
        <a:noFill/>
        <a:ln w="25392">
          <a:noFill/>
        </a:ln>
      </c:spPr>
    </c:plotArea>
    <c:plotVisOnly val="1"/>
    <c:dispBlanksAs val="gap"/>
    <c:showDLblsOverMax val="0"/>
  </c:chart>
  <c:spPr>
    <a:solidFill>
      <a:schemeClr val="bg1"/>
    </a:solidFill>
    <a:ln w="9522"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7"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nl-BE" sz="1097" b="0" baseline="0">
                <a:solidFill>
                  <a:srgbClr val="002060"/>
                </a:solidFill>
                <a:latin typeface="Arial" panose="020B0604020202020204" pitchFamily="34" charset="0"/>
                <a:ea typeface="Verdana" panose="020B0604030504040204" pitchFamily="34" charset="0"/>
                <a:cs typeface="Arial" panose="020B0604020202020204" pitchFamily="34" charset="0"/>
              </a:rPr>
              <a:t>22 new </a:t>
            </a:r>
            <a:r>
              <a:rPr lang="nl-BE" sz="1097" b="0">
                <a:solidFill>
                  <a:srgbClr val="002060"/>
                </a:solidFill>
                <a:latin typeface="Arial" panose="020B0604020202020204" pitchFamily="34" charset="0"/>
                <a:ea typeface="Verdana" panose="020B0604030504040204" pitchFamily="34" charset="0"/>
                <a:cs typeface="Arial" panose="020B0604020202020204" pitchFamily="34" charset="0"/>
              </a:rPr>
              <a:t>late transposition infringement cases against </a:t>
            </a:r>
            <a:r>
              <a:rPr lang="en-GB" sz="1097"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Luxembourg</a:t>
            </a:r>
            <a:endParaRPr lang="nl-BE"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overlay val="0"/>
      <c:spPr>
        <a:noFill/>
        <a:ln w="25339">
          <a:noFill/>
        </a:ln>
      </c:spPr>
    </c:title>
    <c:autoTitleDeleted val="0"/>
    <c:plotArea>
      <c:layout>
        <c:manualLayout>
          <c:layoutTarget val="inner"/>
          <c:xMode val="edge"/>
          <c:yMode val="edge"/>
          <c:x val="0.31614720034995625"/>
          <c:y val="0.26226409198850142"/>
          <c:w val="0.3723354111986002"/>
          <c:h val="0.6382892763404574"/>
        </c:manualLayout>
      </c:layout>
      <c:pieChart>
        <c:varyColors val="1"/>
        <c:ser>
          <c:idx val="0"/>
          <c:order val="0"/>
          <c:tx>
            <c:strRef>
              <c:f>Blad1!$B$1</c:f>
              <c:strCache>
                <c:ptCount val="1"/>
                <c:pt idx="0">
                  <c:v>[Number of late transposition cases] late transposition cases against [Member State]</c:v>
                </c:pt>
              </c:strCache>
            </c:strRef>
          </c:tx>
          <c:spPr>
            <a:scene3d>
              <a:camera prst="orthographicFront"/>
              <a:lightRig rig="threePt" dir="t"/>
            </a:scene3d>
            <a:sp3d>
              <a:bevelT w="63500" h="25400"/>
            </a:sp3d>
          </c:spPr>
          <c:dPt>
            <c:idx val="0"/>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52F0-42AA-9C49-70FDE602153B}"/>
              </c:ext>
            </c:extLst>
          </c:dPt>
          <c:dPt>
            <c:idx val="1"/>
            <c:bubble3D val="0"/>
            <c:spPr>
              <a:solidFill>
                <a:srgbClr val="FF7DF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52F0-42AA-9C49-70FDE602153B}"/>
              </c:ext>
            </c:extLst>
          </c:dPt>
          <c:dPt>
            <c:idx val="2"/>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52F0-42AA-9C49-70FDE602153B}"/>
              </c:ext>
            </c:extLst>
          </c:dPt>
          <c:dPt>
            <c:idx val="3"/>
            <c:bubble3D val="0"/>
            <c:spPr>
              <a:solidFill>
                <a:srgbClr val="996633"/>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52F0-42AA-9C49-70FDE602153B}"/>
              </c:ext>
            </c:extLst>
          </c:dPt>
          <c:dPt>
            <c:idx val="4"/>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52F0-42AA-9C49-70FDE602153B}"/>
              </c:ext>
            </c:extLst>
          </c:dPt>
          <c:dPt>
            <c:idx val="5"/>
            <c:bubble3D val="0"/>
            <c:extLst xmlns:c16r2="http://schemas.microsoft.com/office/drawing/2015/06/chart">
              <c:ext xmlns:c16="http://schemas.microsoft.com/office/drawing/2014/chart" uri="{C3380CC4-5D6E-409C-BE32-E72D297353CC}">
                <c16:uniqueId val="{0000000A-52F0-42AA-9C49-70FDE602153B}"/>
              </c:ext>
            </c:extLst>
          </c:dPt>
          <c:dLbls>
            <c:dLbl>
              <c:idx val="0"/>
              <c:layout>
                <c:manualLayout>
                  <c:x val="-7.1937007874015751E-4"/>
                  <c:y val="3.8204510150516902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52F0-42AA-9C49-70FDE602153B}"/>
                </c:ext>
              </c:extLst>
            </c:dLbl>
            <c:dLbl>
              <c:idx val="1"/>
              <c:layout>
                <c:manualLayout>
                  <c:x val="-5.6396850393700786E-3"/>
                  <c:y val="0.10074583534201081"/>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52F0-42AA-9C49-70FDE602153B}"/>
                </c:ext>
              </c:extLst>
            </c:dLbl>
            <c:dLbl>
              <c:idx val="2"/>
              <c:layout>
                <c:manualLayout>
                  <c:x val="7.1357480314960626E-3"/>
                  <c:y val="5.170196582570035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52F0-42AA-9C49-70FDE602153B}"/>
                </c:ext>
              </c:extLst>
            </c:dLbl>
            <c:dLbl>
              <c:idx val="3"/>
              <c:layout>
                <c:manualLayout>
                  <c:x val="2.6306351706036745E-2"/>
                  <c:y val="-3.1452354170014463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52F0-42AA-9C49-70FDE602153B}"/>
                </c:ext>
              </c:extLst>
            </c:dLbl>
            <c:dLbl>
              <c:idx val="4"/>
              <c:layout>
                <c:manualLayout>
                  <c:x val="-4.5333333333333337E-2"/>
                  <c:y val="-0.11428571428571428"/>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52F0-42AA-9C49-70FDE602153B}"/>
                </c:ext>
              </c:extLst>
            </c:dLbl>
            <c:spPr>
              <a:noFill/>
              <a:ln w="25339">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Blad1!$A$4:$A$9</c:f>
              <c:strCache>
                <c:ptCount val="5"/>
                <c:pt idx="0">
                  <c:v>Environment</c:v>
                </c:pt>
                <c:pt idx="1">
                  <c:v>Health and food safety</c:v>
                </c:pt>
                <c:pt idx="2">
                  <c:v>Financial stability, financial services and Capital Markets Union</c:v>
                </c:pt>
                <c:pt idx="3">
                  <c:v>Justice and consumers</c:v>
                </c:pt>
                <c:pt idx="4">
                  <c:v>Other</c:v>
                </c:pt>
              </c:strCache>
            </c:strRef>
          </c:cat>
          <c:val>
            <c:numRef>
              <c:f>Blad1!$B$4:$B$9</c:f>
              <c:numCache>
                <c:formatCode>General</c:formatCode>
                <c:ptCount val="6"/>
                <c:pt idx="0">
                  <c:v>5</c:v>
                </c:pt>
                <c:pt idx="1">
                  <c:v>4</c:v>
                </c:pt>
                <c:pt idx="2">
                  <c:v>3</c:v>
                </c:pt>
                <c:pt idx="3">
                  <c:v>3</c:v>
                </c:pt>
                <c:pt idx="4">
                  <c:v>7</c:v>
                </c:pt>
              </c:numCache>
            </c:numRef>
          </c:val>
          <c:extLst xmlns:c16r2="http://schemas.microsoft.com/office/drawing/2015/06/chart">
            <c:ext xmlns:c16="http://schemas.microsoft.com/office/drawing/2014/chart" uri="{C3380CC4-5D6E-409C-BE32-E72D297353CC}">
              <c16:uniqueId val="{0000000B-52F0-42AA-9C49-70FDE602153B}"/>
            </c:ext>
          </c:extLst>
        </c:ser>
        <c:dLbls>
          <c:showLegendKey val="0"/>
          <c:showVal val="0"/>
          <c:showCatName val="0"/>
          <c:showSerName val="0"/>
          <c:showPercent val="0"/>
          <c:showBubbleSize val="0"/>
          <c:showLeaderLines val="0"/>
        </c:dLbls>
        <c:firstSliceAng val="273"/>
      </c:pieChart>
      <c:spPr>
        <a:noFill/>
        <a:ln w="25339">
          <a:noFill/>
        </a:ln>
      </c:spPr>
    </c:plotArea>
    <c:plotVisOnly val="1"/>
    <c:dispBlanksAs val="gap"/>
    <c:showDLblsOverMax val="0"/>
  </c:chart>
  <c:spPr>
    <a:solidFill>
      <a:schemeClr val="bg1"/>
    </a:solidFill>
    <a:ln w="9502"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7"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nl-BE" sz="1097" b="0" baseline="0">
                <a:solidFill>
                  <a:srgbClr val="002060"/>
                </a:solidFill>
                <a:latin typeface="Arial" panose="020B0604020202020204" pitchFamily="34" charset="0"/>
                <a:ea typeface="Verdana" panose="020B0604030504040204" pitchFamily="34" charset="0"/>
                <a:cs typeface="Arial" panose="020B0604020202020204" pitchFamily="34" charset="0"/>
              </a:rPr>
              <a:t>14 new </a:t>
            </a:r>
            <a:r>
              <a:rPr lang="nl-BE" sz="1097" b="0">
                <a:solidFill>
                  <a:srgbClr val="002060"/>
                </a:solidFill>
                <a:latin typeface="Arial" panose="020B0604020202020204" pitchFamily="34" charset="0"/>
                <a:ea typeface="Verdana" panose="020B0604030504040204" pitchFamily="34" charset="0"/>
                <a:cs typeface="Arial" panose="020B0604020202020204" pitchFamily="34" charset="0"/>
              </a:rPr>
              <a:t>late transposition infringement cases against </a:t>
            </a:r>
            <a:r>
              <a:rPr lang="en-GB" sz="1097"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Slovakia</a:t>
            </a:r>
            <a:endParaRPr lang="nl-BE"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w="25321">
          <a:noFill/>
        </a:ln>
      </c:spPr>
    </c:title>
    <c:autoTitleDeleted val="0"/>
    <c:plotArea>
      <c:layout>
        <c:manualLayout>
          <c:layoutTarget val="inner"/>
          <c:xMode val="edge"/>
          <c:yMode val="edge"/>
          <c:x val="0.31614720034995625"/>
          <c:y val="0.26226409198850142"/>
          <c:w val="0.3723354111986002"/>
          <c:h val="0.6382892763404574"/>
        </c:manualLayout>
      </c:layout>
      <c:pieChart>
        <c:varyColors val="1"/>
        <c:ser>
          <c:idx val="0"/>
          <c:order val="0"/>
          <c:tx>
            <c:strRef>
              <c:f>Blad1!$B$1</c:f>
              <c:strCache>
                <c:ptCount val="1"/>
                <c:pt idx="0">
                  <c:v>[Number of late transposition cases] late transposition cases against [Member State]</c:v>
                </c:pt>
              </c:strCache>
            </c:strRef>
          </c:tx>
          <c:spPr>
            <a:scene3d>
              <a:camera prst="orthographicFront"/>
              <a:lightRig rig="threePt" dir="t"/>
            </a:scene3d>
            <a:sp3d>
              <a:bevelT w="63500" h="25400"/>
            </a:sp3d>
          </c:spPr>
          <c:dPt>
            <c:idx val="0"/>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EFA1-4517-80ED-D29A41C41893}"/>
              </c:ext>
            </c:extLst>
          </c:dPt>
          <c:dPt>
            <c:idx val="1"/>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EFA1-4517-80ED-D29A41C41893}"/>
              </c:ext>
            </c:extLst>
          </c:dPt>
          <c:dPt>
            <c:idx val="2"/>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EFA1-4517-80ED-D29A41C41893}"/>
              </c:ext>
            </c:extLst>
          </c:dPt>
          <c:dPt>
            <c:idx val="3"/>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EFA1-4517-80ED-D29A41C41893}"/>
              </c:ext>
            </c:extLst>
          </c:dPt>
          <c:dPt>
            <c:idx val="4"/>
            <c:bubble3D val="0"/>
            <c:spPr>
              <a:solidFill>
                <a:srgbClr val="7030A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EFA1-4517-80ED-D29A41C41893}"/>
              </c:ext>
            </c:extLst>
          </c:dPt>
          <c:dLbls>
            <c:dLbl>
              <c:idx val="0"/>
              <c:layout>
                <c:manualLayout>
                  <c:x val="-3.5969559037678428E-2"/>
                  <c:y val="5.9522859473646876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EFA1-4517-80ED-D29A41C41893}"/>
                </c:ext>
              </c:extLst>
            </c:dLbl>
            <c:dLbl>
              <c:idx val="1"/>
              <c:layout>
                <c:manualLayout>
                  <c:x val="2.4864406484073211E-2"/>
                  <c:y val="7.1369351635099665E-2"/>
                </c:manualLayout>
              </c:layout>
              <c:tx>
                <c:rich>
                  <a:bodyPr rot="0" spcFirstLastPara="1" vertOverflow="ellipsis" vert="horz" wrap="square" lIns="38100" tIns="19050" rIns="38100" bIns="19050" anchor="ctr" anchorCtr="1">
                    <a:spAutoFit/>
                  </a:bodyPr>
                  <a:lstStyle/>
                  <a:p>
                    <a:pPr>
                      <a:defRPr sz="847"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r>
                      <a:rPr lang="en-US" sz="897"/>
                      <a:t>Mobility and transport
3</a:t>
                    </a:r>
                  </a:p>
                </c:rich>
              </c:tx>
              <c:spPr>
                <a:noFill/>
                <a:ln w="25321">
                  <a:noFill/>
                </a:ln>
              </c:spPr>
              <c:dLblPos val="bestFit"/>
              <c:showLegendKey val="1"/>
              <c:showVal val="0"/>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EFA1-4517-80ED-D29A41C41893}"/>
                </c:ext>
              </c:extLst>
            </c:dLbl>
            <c:dLbl>
              <c:idx val="2"/>
              <c:layout>
                <c:manualLayout>
                  <c:x val="2.5015041724435607E-2"/>
                  <c:y val="-0.14076576576576577"/>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EFA1-4517-80ED-D29A41C41893}"/>
                </c:ext>
              </c:extLst>
            </c:dLbl>
            <c:dLbl>
              <c:idx val="3"/>
              <c:layout>
                <c:manualLayout>
                  <c:x val="0.13828554860874948"/>
                  <c:y val="0"/>
                </c:manualLayout>
              </c:layout>
              <c:spPr>
                <a:noFill/>
                <a:ln w="25321">
                  <a:noFill/>
                </a:ln>
              </c:spPr>
              <c:txPr>
                <a:bodyPr rot="0" spcFirstLastPara="1" vertOverflow="ellipsis" vert="horz" wrap="square" lIns="38100" tIns="19050" rIns="38100" bIns="19050" anchor="ctr" anchorCtr="1">
                  <a:spAutoFit/>
                </a:bodyPr>
                <a:lstStyle/>
                <a:p>
                  <a:pPr>
                    <a:defRPr sz="847"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EFA1-4517-80ED-D29A41C41893}"/>
                </c:ext>
              </c:extLst>
            </c:dLbl>
            <c:dLbl>
              <c:idx val="4"/>
              <c:layout>
                <c:manualLayout>
                  <c:x val="-8.2692425074772629E-3"/>
                  <c:y val="-8.233799744626516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EFA1-4517-80ED-D29A41C41893}"/>
                </c:ext>
              </c:extLst>
            </c:dLbl>
            <c:spPr>
              <a:noFill/>
              <a:ln w="25321">
                <a:noFill/>
              </a:ln>
            </c:spPr>
            <c:txPr>
              <a:bodyPr rot="0" spcFirstLastPara="1" vertOverflow="ellipsis" vert="horz" wrap="square" lIns="38100" tIns="19050" rIns="38100" bIns="19050" anchor="ctr" anchorCtr="1">
                <a:spAutoFit/>
              </a:bodyPr>
              <a:lstStyle/>
              <a:p>
                <a:pPr>
                  <a:defRPr sz="897"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Blad1!$A$4:$A$8</c:f>
              <c:strCache>
                <c:ptCount val="5"/>
                <c:pt idx="0">
                  <c:v>Environment</c:v>
                </c:pt>
                <c:pt idx="1">
                  <c:v>Mobility and transport</c:v>
                </c:pt>
                <c:pt idx="2">
                  <c:v>Justice and consumers</c:v>
                </c:pt>
                <c:pt idx="3">
                  <c:v>Others</c:v>
                </c:pt>
                <c:pt idx="4">
                  <c:v>Financial stability, financial services and Capital Markets Union</c:v>
                </c:pt>
              </c:strCache>
            </c:strRef>
          </c:cat>
          <c:val>
            <c:numRef>
              <c:f>Blad1!$B$4:$B$8</c:f>
              <c:numCache>
                <c:formatCode>General</c:formatCode>
                <c:ptCount val="5"/>
                <c:pt idx="0">
                  <c:v>3</c:v>
                </c:pt>
                <c:pt idx="1">
                  <c:v>3</c:v>
                </c:pt>
                <c:pt idx="2">
                  <c:v>3</c:v>
                </c:pt>
                <c:pt idx="3">
                  <c:v>2</c:v>
                </c:pt>
                <c:pt idx="4">
                  <c:v>3</c:v>
                </c:pt>
              </c:numCache>
            </c:numRef>
          </c:val>
          <c:extLst xmlns:c16r2="http://schemas.microsoft.com/office/drawing/2015/06/chart">
            <c:ext xmlns:c16="http://schemas.microsoft.com/office/drawing/2014/chart" uri="{C3380CC4-5D6E-409C-BE32-E72D297353CC}">
              <c16:uniqueId val="{0000000A-EFA1-4517-80ED-D29A41C41893}"/>
            </c:ext>
          </c:extLst>
        </c:ser>
        <c:dLbls>
          <c:showLegendKey val="0"/>
          <c:showVal val="0"/>
          <c:showCatName val="0"/>
          <c:showSerName val="0"/>
          <c:showPercent val="0"/>
          <c:showBubbleSize val="0"/>
          <c:showLeaderLines val="0"/>
        </c:dLbls>
        <c:firstSliceAng val="281"/>
      </c:pieChart>
      <c:spPr>
        <a:noFill/>
        <a:ln w="25321">
          <a:noFill/>
        </a:ln>
      </c:spPr>
    </c:plotArea>
    <c:plotVisOnly val="1"/>
    <c:dispBlanksAs val="gap"/>
    <c:showDLblsOverMax val="0"/>
  </c:chart>
  <c:spPr>
    <a:solidFill>
      <a:schemeClr val="bg1"/>
    </a:solidFill>
    <a:ln w="949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1"/>
              <c:layout>
                <c:manualLayout>
                  <c:x val="-3.104938917519031E-2"/>
                  <c:y val="-8.232944422093221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2C3E-4A2D-9ABB-4EFAEE30CBE0}"/>
                </c:ext>
              </c:extLst>
            </c:dLbl>
            <c:spPr>
              <a:noFill/>
              <a:ln w="25384">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General</c:formatCode>
                <c:ptCount val="5"/>
                <c:pt idx="0">
                  <c:v>66</c:v>
                </c:pt>
                <c:pt idx="1">
                  <c:v>72</c:v>
                </c:pt>
                <c:pt idx="2">
                  <c:v>34</c:v>
                </c:pt>
                <c:pt idx="3">
                  <c:v>43</c:v>
                </c:pt>
                <c:pt idx="4">
                  <c:v>50</c:v>
                </c:pt>
              </c:numCache>
            </c:numRef>
          </c:val>
          <c:smooth val="0"/>
          <c:extLst xmlns:c16r2="http://schemas.microsoft.com/office/drawing/2015/06/chart">
            <c:ext xmlns:c16="http://schemas.microsoft.com/office/drawing/2014/chart" uri="{C3380CC4-5D6E-409C-BE32-E72D297353CC}">
              <c16:uniqueId val="{00000003-A1FA-4088-AA91-529AEEA19E16}"/>
            </c:ext>
          </c:extLst>
        </c:ser>
        <c:dLbls>
          <c:showLegendKey val="0"/>
          <c:showVal val="0"/>
          <c:showCatName val="0"/>
          <c:showSerName val="0"/>
          <c:showPercent val="0"/>
          <c:showBubbleSize val="0"/>
        </c:dLbls>
        <c:marker val="1"/>
        <c:smooth val="0"/>
        <c:axId val="331994240"/>
        <c:axId val="331995776"/>
      </c:lineChart>
      <c:catAx>
        <c:axId val="331994240"/>
        <c:scaling>
          <c:orientation val="minMax"/>
        </c:scaling>
        <c:delete val="0"/>
        <c:axPos val="b"/>
        <c:numFmt formatCode="General" sourceLinked="1"/>
        <c:majorTickMark val="none"/>
        <c:minorTickMark val="none"/>
        <c:tickLblPos val="nextTo"/>
        <c:spPr>
          <a:noFill/>
          <a:ln w="12692"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31995776"/>
        <c:crosses val="autoZero"/>
        <c:auto val="1"/>
        <c:lblAlgn val="ctr"/>
        <c:lblOffset val="100"/>
        <c:noMultiLvlLbl val="0"/>
      </c:catAx>
      <c:valAx>
        <c:axId val="331995776"/>
        <c:scaling>
          <c:orientation val="minMax"/>
          <c:min val="20"/>
        </c:scaling>
        <c:delete val="1"/>
        <c:axPos val="l"/>
        <c:majorGridlines>
          <c:spPr>
            <a:ln w="9519" cap="flat" cmpd="sng" algn="ctr">
              <a:solidFill>
                <a:schemeClr val="tx1">
                  <a:lumMod val="15000"/>
                  <a:lumOff val="85000"/>
                </a:schemeClr>
              </a:solidFill>
              <a:round/>
            </a:ln>
            <a:effectLst/>
          </c:spPr>
        </c:majorGridlines>
        <c:numFmt formatCode="General" sourceLinked="1"/>
        <c:majorTickMark val="out"/>
        <c:minorTickMark val="none"/>
        <c:tickLblPos val="nextTo"/>
        <c:crossAx val="331994240"/>
        <c:crosses val="autoZero"/>
        <c:crossBetween val="between"/>
      </c:valAx>
      <c:spPr>
        <a:noFill/>
        <a:ln w="25384">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9" b="0" i="0" u="none" strike="noStrike" kern="1200" baseline="0">
                <a:solidFill>
                  <a:srgbClr val="002060"/>
                </a:solidFill>
                <a:latin typeface="+mn-lt"/>
                <a:ea typeface="+mn-ea"/>
                <a:cs typeface="+mn-cs"/>
              </a:defRPr>
            </a:pPr>
            <a:r>
              <a:rPr lang="en-US" sz="1099" b="0" i="0">
                <a:solidFill>
                  <a:srgbClr val="002060"/>
                </a:solidFill>
                <a:latin typeface="Arial" panose="020B0604020202020204" pitchFamily="34" charset="0"/>
                <a:ea typeface="Verdana" panose="020B0604030504040204" pitchFamily="34" charset="0"/>
                <a:cs typeface="Arial" panose="020B0604020202020204" pitchFamily="34" charset="0"/>
              </a:rPr>
              <a:t>50 complaints made against </a:t>
            </a:r>
            <a:r>
              <a:rPr lang="en-US" sz="10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Finland</a:t>
            </a:r>
            <a:endParaRPr lang="en-US" sz="1100" b="0" i="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w="25379">
          <a:noFill/>
        </a:ln>
      </c:spPr>
    </c:title>
    <c:autoTitleDeleted val="0"/>
    <c:plotArea>
      <c:layout/>
      <c:pieChart>
        <c:varyColors val="1"/>
        <c:ser>
          <c:idx val="0"/>
          <c:order val="0"/>
          <c:tx>
            <c:strRef>
              <c:f>Blad1!$B$1</c:f>
              <c:strCache>
                <c:ptCount val="1"/>
                <c:pt idx="0">
                  <c:v>[Number of new complaints] complaints made against [Member State]</c:v>
                </c:pt>
              </c:strCache>
            </c:strRef>
          </c:tx>
          <c:spPr>
            <a:solidFill>
              <a:srgbClr val="000099"/>
            </a:solidFill>
            <a:scene3d>
              <a:camera prst="orthographicFront"/>
              <a:lightRig rig="threePt" dir="t"/>
            </a:scene3d>
            <a:sp3d>
              <a:bevelT w="63500" h="25400"/>
            </a:sp3d>
          </c:spPr>
          <c:dPt>
            <c:idx val="0"/>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4E82-4129-8744-82A3CFCCD9C8}"/>
              </c:ext>
            </c:extLst>
          </c:dPt>
          <c:dPt>
            <c:idx val="1"/>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4E82-4129-8744-82A3CFCCD9C8}"/>
              </c:ext>
            </c:extLst>
          </c:dPt>
          <c:dPt>
            <c:idx val="2"/>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4E82-4129-8744-82A3CFCCD9C8}"/>
              </c:ext>
            </c:extLst>
          </c:dPt>
          <c:dPt>
            <c:idx val="3"/>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4E82-4129-8744-82A3CFCCD9C8}"/>
              </c:ext>
            </c:extLst>
          </c:dPt>
          <c:dPt>
            <c:idx val="4"/>
            <c:bubble3D val="0"/>
            <c:extLst xmlns:c16r2="http://schemas.microsoft.com/office/drawing/2015/06/chart">
              <c:ext xmlns:c16="http://schemas.microsoft.com/office/drawing/2014/chart" uri="{C3380CC4-5D6E-409C-BE32-E72D297353CC}">
                <c16:uniqueId val="{00000008-4E82-4129-8744-82A3CFCCD9C8}"/>
              </c:ext>
            </c:extLst>
          </c:dPt>
          <c:dLbls>
            <c:dLbl>
              <c:idx val="0"/>
              <c:layout>
                <c:manualLayout>
                  <c:x val="4.1228454690586357E-2"/>
                  <c:y val="0.16205993000874891"/>
                </c:manualLayout>
              </c:layout>
              <c:spPr>
                <a:noFill/>
                <a:ln w="25379">
                  <a:noFill/>
                </a:ln>
              </c:spPr>
              <c:txPr>
                <a:bodyPr rot="0" spcFirstLastPara="1" vertOverflow="ellipsis" vert="horz" wrap="square" lIns="38100" tIns="19050" rIns="38100" bIns="19050" anchor="ctr" anchorCtr="1">
                  <a:spAutoFit/>
                </a:bodyPr>
                <a:lstStyle/>
                <a:p>
                  <a:pPr>
                    <a:defRPr sz="899"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4E82-4129-8744-82A3CFCCD9C8}"/>
                </c:ext>
              </c:extLst>
            </c:dLbl>
            <c:dLbl>
              <c:idx val="1"/>
              <c:layout>
                <c:manualLayout>
                  <c:x val="8.2562978596747577E-3"/>
                  <c:y val="1.996456692913386E-2"/>
                </c:manualLayout>
              </c:layout>
              <c:spPr>
                <a:noFill/>
                <a:ln w="25379">
                  <a:noFill/>
                </a:ln>
              </c:spPr>
              <c:txPr>
                <a:bodyPr rot="0" spcFirstLastPara="1" vertOverflow="ellipsis" vert="horz" wrap="square" lIns="38100" tIns="19050" rIns="38100" bIns="19050" anchor="ctr" anchorCtr="1">
                  <a:spAutoFit/>
                </a:bodyPr>
                <a:lstStyle/>
                <a:p>
                  <a:pPr>
                    <a:defRPr sz="899"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4E82-4129-8744-82A3CFCCD9C8}"/>
                </c:ext>
              </c:extLst>
            </c:dLbl>
            <c:dLbl>
              <c:idx val="2"/>
              <c:layout>
                <c:manualLayout>
                  <c:x val="-1.9253077901344805E-2"/>
                  <c:y val="-4.3744531933508311E-7"/>
                </c:manualLayout>
              </c:layout>
              <c:spPr>
                <a:noFill/>
                <a:ln w="25379">
                  <a:noFill/>
                </a:ln>
              </c:spPr>
              <c:txPr>
                <a:bodyPr rot="0" spcFirstLastPara="1" vertOverflow="ellipsis" vert="horz" wrap="square" lIns="38100" tIns="19050" rIns="38100" bIns="19050" anchor="ctr" anchorCtr="1">
                  <a:spAutoFit/>
                </a:bodyPr>
                <a:lstStyle/>
                <a:p>
                  <a:pPr>
                    <a:defRPr sz="849"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4E82-4129-8744-82A3CFCCD9C8}"/>
                </c:ext>
              </c:extLst>
            </c:dLbl>
            <c:dLbl>
              <c:idx val="3"/>
              <c:layout>
                <c:manualLayout>
                  <c:x val="0"/>
                  <c:y val="-0.12618296529968451"/>
                </c:manualLayout>
              </c:layout>
              <c:spPr>
                <a:noFill/>
                <a:ln w="25379">
                  <a:noFill/>
                </a:ln>
              </c:spPr>
              <c:txPr>
                <a:bodyPr rot="0" spcFirstLastPara="1" vertOverflow="ellipsis" vert="horz" wrap="square" lIns="38100" tIns="19050" rIns="38100" bIns="19050" anchor="ctr" anchorCtr="1">
                  <a:spAutoFit/>
                </a:bodyPr>
                <a:lstStyle/>
                <a:p>
                  <a:pPr>
                    <a:defRPr sz="899"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4E82-4129-8744-82A3CFCCD9C8}"/>
                </c:ext>
              </c:extLst>
            </c:dLbl>
            <c:spPr>
              <a:noFill/>
              <a:ln w="25379">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Blad1!$A$3:$A$6</c:f>
              <c:strCache>
                <c:ptCount val="4"/>
                <c:pt idx="0">
                  <c:v>Internal market, industry, entrepreneurship and SMEs</c:v>
                </c:pt>
                <c:pt idx="1">
                  <c:v>Taxation and customs</c:v>
                </c:pt>
                <c:pt idx="2">
                  <c:v>Justice and consumers</c:v>
                </c:pt>
                <c:pt idx="3">
                  <c:v>Other</c:v>
                </c:pt>
              </c:strCache>
            </c:strRef>
          </c:cat>
          <c:val>
            <c:numRef>
              <c:f>Blad1!$B$3:$B$6</c:f>
              <c:numCache>
                <c:formatCode>General</c:formatCode>
                <c:ptCount val="4"/>
                <c:pt idx="0">
                  <c:v>12</c:v>
                </c:pt>
                <c:pt idx="1">
                  <c:v>7</c:v>
                </c:pt>
                <c:pt idx="2">
                  <c:v>6</c:v>
                </c:pt>
                <c:pt idx="3">
                  <c:v>25</c:v>
                </c:pt>
              </c:numCache>
            </c:numRef>
          </c:val>
          <c:extLst xmlns:c16r2="http://schemas.microsoft.com/office/drawing/2015/06/chart">
            <c:ext xmlns:c16="http://schemas.microsoft.com/office/drawing/2014/chart" uri="{C3380CC4-5D6E-409C-BE32-E72D297353CC}">
              <c16:uniqueId val="{00000009-4E82-4129-8744-82A3CFCCD9C8}"/>
            </c:ext>
          </c:extLst>
        </c:ser>
        <c:dLbls>
          <c:showLegendKey val="0"/>
          <c:showVal val="0"/>
          <c:showCatName val="0"/>
          <c:showSerName val="0"/>
          <c:showPercent val="0"/>
          <c:showBubbleSize val="0"/>
          <c:showLeaderLines val="0"/>
        </c:dLbls>
        <c:firstSliceAng val="349"/>
      </c:pieChart>
      <c:spPr>
        <a:noFill/>
        <a:ln w="25379">
          <a:noFill/>
        </a:ln>
      </c:spPr>
    </c:plotArea>
    <c:plotVisOnly val="1"/>
    <c:dispBlanksAs val="gap"/>
    <c:showDLblsOverMax val="0"/>
  </c:chart>
  <c:spPr>
    <a:solidFill>
      <a:schemeClr val="bg1"/>
    </a:solidFill>
    <a:ln w="9517"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3175113061116118E-2"/>
          <c:y val="6.5476190476190479E-2"/>
          <c:w val="0.93917850933361724"/>
          <c:h val="0.79480221222347203"/>
        </c:manualLayout>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spPr>
              <a:noFill/>
              <a:ln w="25411">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General</c:formatCode>
                <c:ptCount val="5"/>
                <c:pt idx="0">
                  <c:v>38</c:v>
                </c:pt>
                <c:pt idx="1">
                  <c:v>21</c:v>
                </c:pt>
                <c:pt idx="2">
                  <c:v>21</c:v>
                </c:pt>
                <c:pt idx="3">
                  <c:v>10</c:v>
                </c:pt>
                <c:pt idx="4">
                  <c:v>2</c:v>
                </c:pt>
              </c:numCache>
            </c:numRef>
          </c:val>
          <c:smooth val="0"/>
          <c:extLst xmlns:c16r2="http://schemas.microsoft.com/office/drawing/2015/06/chart">
            <c:ext xmlns:c16="http://schemas.microsoft.com/office/drawing/2014/chart" uri="{C3380CC4-5D6E-409C-BE32-E72D297353CC}">
              <c16:uniqueId val="{00000003-BD61-40AD-8A19-BB835A7342A0}"/>
            </c:ext>
          </c:extLst>
        </c:ser>
        <c:dLbls>
          <c:showLegendKey val="0"/>
          <c:showVal val="0"/>
          <c:showCatName val="0"/>
          <c:showSerName val="0"/>
          <c:showPercent val="0"/>
          <c:showBubbleSize val="0"/>
        </c:dLbls>
        <c:marker val="1"/>
        <c:smooth val="0"/>
        <c:axId val="332133120"/>
        <c:axId val="332134656"/>
      </c:lineChart>
      <c:catAx>
        <c:axId val="332133120"/>
        <c:scaling>
          <c:orientation val="minMax"/>
        </c:scaling>
        <c:delete val="0"/>
        <c:axPos val="b"/>
        <c:numFmt formatCode="General" sourceLinked="1"/>
        <c:majorTickMark val="none"/>
        <c:minorTickMark val="none"/>
        <c:tickLblPos val="nextTo"/>
        <c:spPr>
          <a:noFill/>
          <a:ln w="12706"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32134656"/>
        <c:crosses val="autoZero"/>
        <c:auto val="1"/>
        <c:lblAlgn val="ctr"/>
        <c:lblOffset val="100"/>
        <c:noMultiLvlLbl val="0"/>
      </c:catAx>
      <c:valAx>
        <c:axId val="332134656"/>
        <c:scaling>
          <c:orientation val="minMax"/>
        </c:scaling>
        <c:delete val="1"/>
        <c:axPos val="l"/>
        <c:majorGridlines>
          <c:spPr>
            <a:ln w="9529" cap="flat" cmpd="sng" algn="ctr">
              <a:solidFill>
                <a:schemeClr val="tx1">
                  <a:lumMod val="15000"/>
                  <a:lumOff val="85000"/>
                </a:schemeClr>
              </a:solidFill>
              <a:round/>
            </a:ln>
            <a:effectLst/>
          </c:spPr>
        </c:majorGridlines>
        <c:numFmt formatCode="General" sourceLinked="1"/>
        <c:majorTickMark val="out"/>
        <c:minorTickMark val="none"/>
        <c:tickLblPos val="nextTo"/>
        <c:crossAx val="332133120"/>
        <c:crosses val="autoZero"/>
        <c:crossBetween val="between"/>
      </c:valAx>
      <c:spPr>
        <a:noFill/>
        <a:ln w="25411">
          <a:noFill/>
        </a:ln>
      </c:spPr>
    </c:plotArea>
    <c:plotVisOnly val="1"/>
    <c:dispBlanksAs val="gap"/>
    <c:showDLblsOverMax val="0"/>
  </c:chart>
  <c:spPr>
    <a:solidFill>
      <a:schemeClr val="bg1"/>
    </a:solidFill>
    <a:ln w="952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3175113061116118E-2"/>
          <c:y val="6.5476190476190479E-2"/>
          <c:w val="0.93917850933361724"/>
          <c:h val="0.79480221222347203"/>
        </c:manualLayout>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1"/>
              <c:layout>
                <c:manualLayout>
                  <c:x val="-4.4841409749154487E-2"/>
                  <c:y val="8.01781027371578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3706-4148-AAC0-5A2DF760449E}"/>
                </c:ext>
              </c:extLst>
            </c:dLbl>
            <c:dLbl>
              <c:idx val="2"/>
              <c:layout>
                <c:manualLayout>
                  <c:x val="-4.4841409749154487E-2"/>
                  <c:y val="6.827380952380952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3706-4148-AAC0-5A2DF760449E}"/>
                </c:ext>
              </c:extLst>
            </c:dLbl>
            <c:dLbl>
              <c:idx val="4"/>
              <c:layout>
                <c:manualLayout>
                  <c:x val="-8.8999447208402433E-3"/>
                  <c:y val="2.065476190476190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3706-4148-AAC0-5A2DF760449E}"/>
                </c:ext>
              </c:extLst>
            </c:dLbl>
            <c:spPr>
              <a:noFill/>
              <a:ln w="25411">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General</c:formatCode>
                <c:ptCount val="5"/>
                <c:pt idx="0">
                  <c:v>25</c:v>
                </c:pt>
                <c:pt idx="1">
                  <c:v>25</c:v>
                </c:pt>
                <c:pt idx="2">
                  <c:v>30</c:v>
                </c:pt>
                <c:pt idx="3">
                  <c:v>22</c:v>
                </c:pt>
                <c:pt idx="4">
                  <c:v>21</c:v>
                </c:pt>
              </c:numCache>
            </c:numRef>
          </c:val>
          <c:smooth val="0"/>
          <c:extLst xmlns:c16r2="http://schemas.microsoft.com/office/drawing/2015/06/chart">
            <c:ext xmlns:c16="http://schemas.microsoft.com/office/drawing/2014/chart" uri="{C3380CC4-5D6E-409C-BE32-E72D297353CC}">
              <c16:uniqueId val="{00000003-3706-4148-AAC0-5A2DF760449E}"/>
            </c:ext>
          </c:extLst>
        </c:ser>
        <c:dLbls>
          <c:showLegendKey val="0"/>
          <c:showVal val="0"/>
          <c:showCatName val="0"/>
          <c:showSerName val="0"/>
          <c:showPercent val="0"/>
          <c:showBubbleSize val="0"/>
        </c:dLbls>
        <c:marker val="1"/>
        <c:smooth val="0"/>
        <c:axId val="332165120"/>
        <c:axId val="332166656"/>
      </c:lineChart>
      <c:catAx>
        <c:axId val="332165120"/>
        <c:scaling>
          <c:orientation val="minMax"/>
        </c:scaling>
        <c:delete val="0"/>
        <c:axPos val="b"/>
        <c:numFmt formatCode="General" sourceLinked="1"/>
        <c:majorTickMark val="none"/>
        <c:minorTickMark val="none"/>
        <c:tickLblPos val="nextTo"/>
        <c:spPr>
          <a:noFill/>
          <a:ln w="12706"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32166656"/>
        <c:crosses val="autoZero"/>
        <c:auto val="1"/>
        <c:lblAlgn val="ctr"/>
        <c:lblOffset val="100"/>
        <c:noMultiLvlLbl val="0"/>
      </c:catAx>
      <c:valAx>
        <c:axId val="332166656"/>
        <c:scaling>
          <c:orientation val="minMax"/>
          <c:min val="10"/>
        </c:scaling>
        <c:delete val="1"/>
        <c:axPos val="l"/>
        <c:majorGridlines>
          <c:spPr>
            <a:ln w="9529" cap="flat" cmpd="sng" algn="ctr">
              <a:solidFill>
                <a:schemeClr val="tx1">
                  <a:lumMod val="15000"/>
                  <a:lumOff val="85000"/>
                </a:schemeClr>
              </a:solidFill>
              <a:round/>
            </a:ln>
            <a:effectLst/>
          </c:spPr>
        </c:majorGridlines>
        <c:numFmt formatCode="General" sourceLinked="1"/>
        <c:majorTickMark val="out"/>
        <c:minorTickMark val="none"/>
        <c:tickLblPos val="nextTo"/>
        <c:crossAx val="332165120"/>
        <c:crosses val="autoZero"/>
        <c:crossBetween val="between"/>
      </c:valAx>
      <c:spPr>
        <a:noFill/>
        <a:ln w="25411">
          <a:noFill/>
        </a:ln>
      </c:spPr>
    </c:plotArea>
    <c:plotVisOnly val="1"/>
    <c:dispBlanksAs val="gap"/>
    <c:showDLblsOverMax val="0"/>
  </c:chart>
  <c:spPr>
    <a:solidFill>
      <a:schemeClr val="bg1"/>
    </a:solidFill>
    <a:ln w="952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9">
                <a:latin typeface="Arial" panose="020B0604020202020204" pitchFamily="34" charset="0"/>
                <a:cs typeface="Arial" panose="020B0604020202020204" pitchFamily="34" charset="0"/>
              </a:defRPr>
            </a:pPr>
            <a:r>
              <a:rPr lang="en-US" sz="1099" b="0" i="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2 EU Pilot files opened against </a:t>
            </a:r>
            <a:r>
              <a:rPr lang="en-US" sz="1099" b="0" i="0" u="none" strike="noStrike" kern="120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Finland</a:t>
            </a:r>
            <a:endParaRPr lang="en-GB" sz="1100">
              <a:solidFill>
                <a:srgbClr val="002060"/>
              </a:solidFill>
              <a:effectLst/>
              <a:latin typeface="Arial" panose="020B0604020202020204" pitchFamily="34" charset="0"/>
              <a:ea typeface="Verdana" panose="020B0604030504040204" pitchFamily="34" charset="0"/>
              <a:cs typeface="Arial" panose="020B0604020202020204" pitchFamily="34" charset="0"/>
            </a:endParaRPr>
          </a:p>
        </c:rich>
      </c:tx>
      <c:overlay val="0"/>
    </c:title>
    <c:autoTitleDeleted val="0"/>
    <c:plotArea>
      <c:layout/>
      <c:pieChart>
        <c:varyColors val="1"/>
        <c:ser>
          <c:idx val="0"/>
          <c:order val="0"/>
          <c:tx>
            <c:strRef>
              <c:f>Blad1!$B$1</c:f>
              <c:strCache>
                <c:ptCount val="1"/>
                <c:pt idx="0">
                  <c:v>[Number of new EU Pilot files ] EU Pilot files opened against [Member State]</c:v>
                </c:pt>
              </c:strCache>
            </c:strRef>
          </c:tx>
          <c:spPr>
            <a:scene3d>
              <a:camera prst="orthographicFront"/>
              <a:lightRig rig="threePt" dir="t"/>
            </a:scene3d>
            <a:sp3d>
              <a:bevelT w="63500" h="25400"/>
            </a:sp3d>
          </c:spPr>
          <c:dPt>
            <c:idx val="0"/>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2BE9-468A-8CCA-0AC1CD17D09D}"/>
              </c:ext>
            </c:extLst>
          </c:dPt>
          <c:dPt>
            <c:idx val="1"/>
            <c:bubble3D val="0"/>
            <c:spPr>
              <a:solidFill>
                <a:srgbClr val="E7511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2BE9-468A-8CCA-0AC1CD17D09D}"/>
              </c:ext>
            </c:extLst>
          </c:dPt>
          <c:dPt>
            <c:idx val="2"/>
            <c:bubble3D val="0"/>
            <c:spPr>
              <a:solidFill>
                <a:srgbClr val="92D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2BE9-468A-8CCA-0AC1CD17D09D}"/>
              </c:ext>
            </c:extLst>
          </c:dPt>
          <c:dPt>
            <c:idx val="3"/>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2BE9-468A-8CCA-0AC1CD17D09D}"/>
              </c:ext>
            </c:extLst>
          </c:dPt>
          <c:dPt>
            <c:idx val="4"/>
            <c:bubble3D val="0"/>
            <c:spPr>
              <a:solidFill>
                <a:srgbClr val="FF990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2BE9-468A-8CCA-0AC1CD17D09D}"/>
              </c:ext>
            </c:extLst>
          </c:dPt>
          <c:dLbls>
            <c:dLbl>
              <c:idx val="0"/>
              <c:layout>
                <c:manualLayout>
                  <c:x val="-1.9199041667305426E-2"/>
                  <c:y val="4.6244291810727804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2BE9-468A-8CCA-0AC1CD17D09D}"/>
                </c:ext>
              </c:extLst>
            </c:dLbl>
            <c:dLbl>
              <c:idx val="1"/>
              <c:layout>
                <c:manualLayout>
                  <c:x val="1.3742349197657629E-2"/>
                  <c:y val="-6.4805431719232559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2BE9-468A-8CCA-0AC1CD17D09D}"/>
                </c:ext>
              </c:extLst>
            </c:dLbl>
            <c:dLbl>
              <c:idx val="2"/>
              <c:layout>
                <c:manualLayout>
                  <c:x val="-2.1933062232352536E-2"/>
                  <c:y val="2.54681198386787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BE9-468A-8CCA-0AC1CD17D09D}"/>
                </c:ext>
              </c:extLst>
            </c:dLbl>
            <c:dLbl>
              <c:idx val="3"/>
              <c:layout>
                <c:manualLayout>
                  <c:x val="-1.0962969678132338E-2"/>
                  <c:y val="1.9220920555662296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BE9-468A-8CCA-0AC1CD17D09D}"/>
                </c:ext>
              </c:extLst>
            </c:dLbl>
            <c:dLbl>
              <c:idx val="4"/>
              <c:layout>
                <c:manualLayout>
                  <c:x val="8.2236842105263153E-3"/>
                  <c:y val="-5.0817009154343513E-3"/>
                </c:manualLayout>
              </c:layout>
              <c:tx>
                <c:rich>
                  <a:bodyPr/>
                  <a:lstStyle/>
                  <a:p>
                    <a:r>
                      <a:rPr lang="en-US" sz="849"/>
                      <a:t>Mobility and transport
3</a:t>
                    </a:r>
                    <a:endParaRPr lang="en-US"/>
                  </a:p>
                </c:rich>
              </c:tx>
              <c:dLblPos val="bestFit"/>
              <c:showLegendKey val="1"/>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2BE9-468A-8CCA-0AC1CD17D09D}"/>
                </c:ext>
              </c:extLst>
            </c:dLbl>
            <c:dLbl>
              <c:idx val="5"/>
              <c:layout>
                <c:manualLayout>
                  <c:x val="2.7412280701754384E-3"/>
                  <c:y val="5.08130081300813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2BE9-468A-8CCA-0AC1CD17D09D}"/>
                </c:ext>
              </c:extLst>
            </c:dLbl>
            <c:spPr>
              <a:noFill/>
              <a:ln w="25383">
                <a:noFill/>
              </a:ln>
            </c:spPr>
            <c:txPr>
              <a:bodyPr/>
              <a:lstStyle/>
              <a:p>
                <a:pPr>
                  <a:defRPr sz="849">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Blad1!$A$2:$A$5</c:f>
              <c:strCache>
                <c:ptCount val="2"/>
                <c:pt idx="0">
                  <c:v>Environment </c:v>
                </c:pt>
                <c:pt idx="1">
                  <c:v>Energy</c:v>
                </c:pt>
              </c:strCache>
            </c:strRef>
          </c:cat>
          <c:val>
            <c:numRef>
              <c:f>Blad1!$B$2:$B$5</c:f>
              <c:numCache>
                <c:formatCode>General</c:formatCode>
                <c:ptCount val="4"/>
                <c:pt idx="0">
                  <c:v>1</c:v>
                </c:pt>
                <c:pt idx="1">
                  <c:v>1</c:v>
                </c:pt>
              </c:numCache>
            </c:numRef>
          </c:val>
          <c:extLst xmlns:c16r2="http://schemas.microsoft.com/office/drawing/2015/06/chart">
            <c:ext xmlns:c16="http://schemas.microsoft.com/office/drawing/2014/chart" uri="{C3380CC4-5D6E-409C-BE32-E72D297353CC}">
              <c16:uniqueId val="{0000000B-2BE9-468A-8CCA-0AC1CD17D09D}"/>
            </c:ext>
          </c:extLst>
        </c:ser>
        <c:dLbls>
          <c:showLegendKey val="0"/>
          <c:showVal val="0"/>
          <c:showCatName val="0"/>
          <c:showSerName val="0"/>
          <c:showPercent val="0"/>
          <c:showBubbleSize val="0"/>
          <c:showLeaderLines val="0"/>
        </c:dLbls>
        <c:firstSliceAng val="212"/>
      </c:pieChart>
      <c:spPr>
        <a:noFill/>
        <a:ln w="25383">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Blad1!$B$2</c:f>
              <c:strCache>
                <c:ptCount val="1"/>
                <c:pt idx="0">
                  <c:v>Finland</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4.4442191819045872E-2"/>
                  <c:y val="-7.488029050132179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C861-41E0-A7F4-B6B0F0FFCF91}"/>
                </c:ext>
              </c:extLst>
            </c:dLbl>
            <c:dLbl>
              <c:idx val="4"/>
              <c:layout>
                <c:manualLayout>
                  <c:x val="-6.0658914728682171E-2"/>
                  <c:y val="-8.085400615245673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C861-41E0-A7F4-B6B0F0FFCF91}"/>
                </c:ext>
              </c:extLst>
            </c:dLbl>
            <c:spPr>
              <a:noFill/>
              <a:ln w="25384">
                <a:noFill/>
              </a:ln>
            </c:spPr>
            <c:txPr>
              <a:bodyPr/>
              <a:lstStyle/>
              <a:p>
                <a:pPr>
                  <a:defRPr sz="899">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0%</c:formatCode>
                <c:ptCount val="5"/>
                <c:pt idx="0">
                  <c:v>0.73</c:v>
                </c:pt>
                <c:pt idx="1">
                  <c:v>0.74</c:v>
                </c:pt>
                <c:pt idx="2">
                  <c:v>0.75</c:v>
                </c:pt>
                <c:pt idx="3">
                  <c:v>0.68</c:v>
                </c:pt>
                <c:pt idx="4">
                  <c:v>1</c:v>
                </c:pt>
              </c:numCache>
            </c:numRef>
          </c:val>
          <c:smooth val="0"/>
          <c:extLst xmlns:c16r2="http://schemas.microsoft.com/office/drawing/2015/06/chart">
            <c:ext xmlns:c16="http://schemas.microsoft.com/office/drawing/2014/chart" uri="{C3380CC4-5D6E-409C-BE32-E72D297353CC}">
              <c16:uniqueId val="{00000004-D9C3-4A5D-89F1-F824915344E5}"/>
            </c:ext>
          </c:extLst>
        </c:ser>
        <c:ser>
          <c:idx val="1"/>
          <c:order val="1"/>
          <c:tx>
            <c:strRef>
              <c:f>Blad1!$C$2</c:f>
              <c:strCache>
                <c:ptCount val="1"/>
                <c:pt idx="0">
                  <c:v>General rate for all Member States</c:v>
                </c:pt>
              </c:strCache>
            </c:strRef>
          </c:tx>
          <c:spPr>
            <a:ln w="25384">
              <a:solidFill>
                <a:srgbClr val="92D050"/>
              </a:solidFill>
            </a:ln>
          </c:spPr>
          <c:marker>
            <c:symbol val="square"/>
            <c:size val="4"/>
            <c:spPr>
              <a:solidFill>
                <a:srgbClr val="92D050"/>
              </a:solidFill>
              <a:ln>
                <a:solidFill>
                  <a:srgbClr val="92D050"/>
                </a:solidFill>
              </a:ln>
            </c:spPr>
          </c:marker>
          <c:dLbls>
            <c:dLbl>
              <c:idx val="0"/>
              <c:layout>
                <c:manualLayout>
                  <c:x val="-5.1363565019488841E-2"/>
                  <c:y val="7.189390304706534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C861-41E0-A7F4-B6B0F0FFCF91}"/>
                </c:ext>
              </c:extLst>
            </c:dLbl>
            <c:spPr>
              <a:noFill/>
              <a:ln w="25384">
                <a:noFill/>
              </a:ln>
            </c:spPr>
            <c:txPr>
              <a:bodyPr/>
              <a:lstStyle/>
              <a:p>
                <a:pPr>
                  <a:defRPr sz="899">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2013</c:v>
                </c:pt>
                <c:pt idx="1">
                  <c:v>2014</c:v>
                </c:pt>
                <c:pt idx="2">
                  <c:v>2015</c:v>
                </c:pt>
                <c:pt idx="3">
                  <c:v>2016</c:v>
                </c:pt>
                <c:pt idx="4">
                  <c:v>2017</c:v>
                </c:pt>
              </c:numCache>
            </c:numRef>
          </c:cat>
          <c:val>
            <c:numRef>
              <c:f>Blad1!$C$3:$C$7</c:f>
              <c:numCache>
                <c:formatCode>0%</c:formatCode>
                <c:ptCount val="5"/>
                <c:pt idx="0">
                  <c:v>0.7</c:v>
                </c:pt>
                <c:pt idx="1">
                  <c:v>0.75</c:v>
                </c:pt>
                <c:pt idx="2">
                  <c:v>0.75</c:v>
                </c:pt>
                <c:pt idx="3">
                  <c:v>0.72</c:v>
                </c:pt>
                <c:pt idx="4">
                  <c:v>0.77</c:v>
                </c:pt>
              </c:numCache>
            </c:numRef>
          </c:val>
          <c:smooth val="0"/>
          <c:extLst xmlns:c16r2="http://schemas.microsoft.com/office/drawing/2015/06/chart">
            <c:ext xmlns:c16="http://schemas.microsoft.com/office/drawing/2014/chart" uri="{C3380CC4-5D6E-409C-BE32-E72D297353CC}">
              <c16:uniqueId val="{00000008-D9C3-4A5D-89F1-F824915344E5}"/>
            </c:ext>
          </c:extLst>
        </c:ser>
        <c:dLbls>
          <c:showLegendKey val="0"/>
          <c:showVal val="0"/>
          <c:showCatName val="0"/>
          <c:showSerName val="0"/>
          <c:showPercent val="0"/>
          <c:showBubbleSize val="0"/>
        </c:dLbls>
        <c:marker val="1"/>
        <c:smooth val="0"/>
        <c:axId val="332310784"/>
        <c:axId val="332316672"/>
      </c:lineChart>
      <c:catAx>
        <c:axId val="332310784"/>
        <c:scaling>
          <c:orientation val="minMax"/>
        </c:scaling>
        <c:delete val="0"/>
        <c:axPos val="b"/>
        <c:numFmt formatCode="General" sourceLinked="1"/>
        <c:majorTickMark val="none"/>
        <c:minorTickMark val="none"/>
        <c:tickLblPos val="nextTo"/>
        <c:spPr>
          <a:noFill/>
          <a:ln w="12692"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32316672"/>
        <c:crosses val="autoZero"/>
        <c:auto val="1"/>
        <c:lblAlgn val="ctr"/>
        <c:lblOffset val="100"/>
        <c:noMultiLvlLbl val="0"/>
      </c:catAx>
      <c:valAx>
        <c:axId val="332316672"/>
        <c:scaling>
          <c:orientation val="minMax"/>
          <c:min val="0.5"/>
        </c:scaling>
        <c:delete val="1"/>
        <c:axPos val="l"/>
        <c:majorGridlines>
          <c:spPr>
            <a:ln w="9519" cap="flat" cmpd="sng" algn="ctr">
              <a:solidFill>
                <a:schemeClr val="tx1">
                  <a:lumMod val="15000"/>
                  <a:lumOff val="85000"/>
                </a:schemeClr>
              </a:solidFill>
              <a:round/>
            </a:ln>
            <a:effectLst/>
          </c:spPr>
        </c:majorGridlines>
        <c:numFmt formatCode="0%" sourceLinked="1"/>
        <c:majorTickMark val="out"/>
        <c:minorTickMark val="none"/>
        <c:tickLblPos val="nextTo"/>
        <c:crossAx val="332310784"/>
        <c:crosses val="autoZero"/>
        <c:crossBetween val="between"/>
      </c:valAx>
      <c:spPr>
        <a:noFill/>
        <a:ln w="25384">
          <a:noFill/>
        </a:ln>
      </c:spPr>
    </c:plotArea>
    <c:legend>
      <c:legendPos val="b"/>
      <c:overlay val="0"/>
      <c:txPr>
        <a:bodyPr/>
        <a:lstStyle/>
        <a:p>
          <a:pPr>
            <a:defRPr sz="899">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Lbls>
            <c:dLbl>
              <c:idx val="3"/>
              <c:layout>
                <c:manualLayout>
                  <c:x val="-3.9353077405116746E-2"/>
                  <c:y val="-6.454450105214089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9CD9-4494-B506-553BAB528154}"/>
                </c:ext>
              </c:extLst>
            </c:dLbl>
            <c:spPr>
              <a:noFill/>
              <a:ln w="25384">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Blad1!$A$4:$A$8</c:f>
              <c:numCache>
                <c:formatCode>General</c:formatCode>
                <c:ptCount val="5"/>
                <c:pt idx="0">
                  <c:v>2013</c:v>
                </c:pt>
                <c:pt idx="1">
                  <c:v>2014</c:v>
                </c:pt>
                <c:pt idx="2">
                  <c:v>2015</c:v>
                </c:pt>
                <c:pt idx="3">
                  <c:v>2016</c:v>
                </c:pt>
                <c:pt idx="4">
                  <c:v>2017</c:v>
                </c:pt>
              </c:numCache>
            </c:numRef>
          </c:cat>
          <c:val>
            <c:numRef>
              <c:f>Blad1!$B$4:$B$8</c:f>
              <c:numCache>
                <c:formatCode>General</c:formatCode>
                <c:ptCount val="5"/>
                <c:pt idx="0">
                  <c:v>39</c:v>
                </c:pt>
                <c:pt idx="1">
                  <c:v>28</c:v>
                </c:pt>
                <c:pt idx="2">
                  <c:v>31</c:v>
                </c:pt>
                <c:pt idx="3">
                  <c:v>52</c:v>
                </c:pt>
                <c:pt idx="4">
                  <c:v>41</c:v>
                </c:pt>
              </c:numCache>
            </c:numRef>
          </c:val>
          <c:smooth val="0"/>
          <c:extLst xmlns:c16r2="http://schemas.microsoft.com/office/drawing/2015/06/chart">
            <c:ext xmlns:c16="http://schemas.microsoft.com/office/drawing/2014/chart" uri="{C3380CC4-5D6E-409C-BE32-E72D297353CC}">
              <c16:uniqueId val="{00000002-0905-4516-9B6B-B4EDBA290AD1}"/>
            </c:ext>
          </c:extLst>
        </c:ser>
        <c:dLbls>
          <c:showLegendKey val="0"/>
          <c:showVal val="0"/>
          <c:showCatName val="0"/>
          <c:showSerName val="0"/>
          <c:showPercent val="0"/>
          <c:showBubbleSize val="0"/>
        </c:dLbls>
        <c:marker val="1"/>
        <c:smooth val="0"/>
        <c:axId val="332395648"/>
        <c:axId val="332397184"/>
      </c:lineChart>
      <c:catAx>
        <c:axId val="332395648"/>
        <c:scaling>
          <c:orientation val="minMax"/>
        </c:scaling>
        <c:delete val="0"/>
        <c:axPos val="b"/>
        <c:numFmt formatCode="General" sourceLinked="1"/>
        <c:majorTickMark val="none"/>
        <c:minorTickMark val="none"/>
        <c:tickLblPos val="nextTo"/>
        <c:spPr>
          <a:noFill/>
          <a:ln w="12692"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32397184"/>
        <c:crosses val="autoZero"/>
        <c:auto val="1"/>
        <c:lblAlgn val="ctr"/>
        <c:lblOffset val="100"/>
        <c:noMultiLvlLbl val="0"/>
      </c:catAx>
      <c:valAx>
        <c:axId val="332397184"/>
        <c:scaling>
          <c:orientation val="minMax"/>
          <c:min val="20"/>
        </c:scaling>
        <c:delete val="1"/>
        <c:axPos val="l"/>
        <c:majorGridlines>
          <c:spPr>
            <a:ln w="9519" cap="flat" cmpd="sng" algn="ctr">
              <a:solidFill>
                <a:schemeClr val="tx1">
                  <a:lumMod val="15000"/>
                  <a:lumOff val="85000"/>
                </a:schemeClr>
              </a:solidFill>
              <a:round/>
            </a:ln>
            <a:effectLst/>
          </c:spPr>
        </c:majorGridlines>
        <c:numFmt formatCode="General" sourceLinked="1"/>
        <c:majorTickMark val="out"/>
        <c:minorTickMark val="none"/>
        <c:tickLblPos val="nextTo"/>
        <c:crossAx val="332395648"/>
        <c:crosses val="autoZero"/>
        <c:crossBetween val="between"/>
      </c:valAx>
      <c:spPr>
        <a:noFill/>
        <a:ln w="25384">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8"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US" sz="1098" b="0" baseline="0">
                <a:solidFill>
                  <a:srgbClr val="002060"/>
                </a:solidFill>
                <a:latin typeface="Arial" panose="020B0604020202020204" pitchFamily="34" charset="0"/>
                <a:ea typeface="Verdana" panose="020B0604030504040204" pitchFamily="34" charset="0"/>
                <a:cs typeface="Arial" panose="020B0604020202020204" pitchFamily="34" charset="0"/>
              </a:rPr>
              <a:t>26 new </a:t>
            </a:r>
            <a:r>
              <a:rPr lang="en-US" sz="1098"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against</a:t>
            </a:r>
            <a:r>
              <a:rPr lang="en-US" sz="1098" b="0" baseline="0">
                <a:solidFill>
                  <a:srgbClr val="002060"/>
                </a:solidFill>
                <a:latin typeface="Arial" panose="020B0604020202020204" pitchFamily="34" charset="0"/>
                <a:ea typeface="Verdana" panose="020B0604030504040204" pitchFamily="34" charset="0"/>
                <a:cs typeface="Arial" panose="020B0604020202020204" pitchFamily="34" charset="0"/>
              </a:rPr>
              <a:t> </a:t>
            </a:r>
            <a:r>
              <a:rPr lang="en-US" sz="1098"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Finland</a:t>
            </a:r>
            <a:endParaRPr lang="en-US"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5940807011512856"/>
          <c:y val="3.2786849513805512E-2"/>
        </c:manualLayout>
      </c:layout>
      <c:overlay val="0"/>
      <c:spPr>
        <a:noFill/>
        <a:ln w="25345">
          <a:noFill/>
        </a:ln>
      </c:spPr>
    </c:title>
    <c:autoTitleDeleted val="0"/>
    <c:plotArea>
      <c:layout/>
      <c:pieChart>
        <c:varyColors val="1"/>
        <c:ser>
          <c:idx val="0"/>
          <c:order val="0"/>
          <c:tx>
            <c:strRef>
              <c:f>Blad1!$B$1</c:f>
              <c:strCache>
                <c:ptCount val="1"/>
                <c:pt idx="0">
                  <c:v>[Number of infringement cases] infringement cases against Austria</c:v>
                </c:pt>
              </c:strCache>
            </c:strRef>
          </c:tx>
          <c:spPr>
            <a:scene3d>
              <a:camera prst="orthographicFront"/>
              <a:lightRig rig="threePt" dir="t"/>
            </a:scene3d>
            <a:sp3d>
              <a:bevelT w="63500" h="25400"/>
            </a:sp3d>
          </c:spPr>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1A26-4572-8AB7-3E3241E759B2}"/>
              </c:ext>
            </c:extLst>
          </c:dPt>
          <c:dPt>
            <c:idx val="1"/>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1A26-4572-8AB7-3E3241E759B2}"/>
              </c:ext>
            </c:extLst>
          </c:dPt>
          <c:dPt>
            <c:idx val="2"/>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1A26-4572-8AB7-3E3241E759B2}"/>
              </c:ext>
            </c:extLst>
          </c:dPt>
          <c:dPt>
            <c:idx val="3"/>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1A26-4572-8AB7-3E3241E759B2}"/>
              </c:ext>
            </c:extLst>
          </c:dPt>
          <c:dPt>
            <c:idx val="4"/>
            <c:bubble3D val="0"/>
            <c:spPr>
              <a:solidFill>
                <a:srgbClr val="FF7DF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1A26-4572-8AB7-3E3241E759B2}"/>
              </c:ext>
            </c:extLst>
          </c:dPt>
          <c:dPt>
            <c:idx val="5"/>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1A26-4572-8AB7-3E3241E759B2}"/>
              </c:ext>
            </c:extLst>
          </c:dPt>
          <c:dPt>
            <c:idx val="6"/>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D-1A26-4572-8AB7-3E3241E759B2}"/>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A26-4572-8AB7-3E3241E759B2}"/>
                </c:ext>
              </c:extLst>
            </c:dLbl>
            <c:dLbl>
              <c:idx val="1"/>
              <c:layout>
                <c:manualLayout>
                  <c:x val="4.0148591051786947E-2"/>
                  <c:y val="2.6879826922593143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1A26-4572-8AB7-3E3241E759B2}"/>
                </c:ext>
              </c:extLst>
            </c:dLbl>
            <c:dLbl>
              <c:idx val="2"/>
              <c:layout>
                <c:manualLayout>
                  <c:x val="3.0710532841148868E-2"/>
                  <c:y val="0.15118152163886861"/>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1A26-4572-8AB7-3E3241E759B2}"/>
                </c:ext>
              </c:extLst>
            </c:dLbl>
            <c:dLbl>
              <c:idx val="3"/>
              <c:layout>
                <c:manualLayout>
                  <c:x val="1.597119878731736E-2"/>
                  <c:y val="3.8884975640025826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1A26-4572-8AB7-3E3241E759B2}"/>
                </c:ext>
              </c:extLst>
            </c:dLbl>
            <c:dLbl>
              <c:idx val="4"/>
              <c:layout>
                <c:manualLayout>
                  <c:x val="3.1482495169387247E-2"/>
                  <c:y val="-1.697231935464936E-3"/>
                </c:manualLayout>
              </c:layout>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1A26-4572-8AB7-3E3241E759B2}"/>
                </c:ext>
              </c:extLst>
            </c:dLbl>
            <c:dLbl>
              <c:idx val="5"/>
              <c:layout>
                <c:manualLayout>
                  <c:x val="-5.6291960831099351E-2"/>
                  <c:y val="-9.3703303061558205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1A26-4572-8AB7-3E3241E759B2}"/>
                </c:ext>
              </c:extLst>
            </c:dLbl>
            <c:dLbl>
              <c:idx val="6"/>
              <c:layout>
                <c:manualLayout>
                  <c:x val="-8.313999465809168E-3"/>
                  <c:y val="1.6437306559650165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A26-4572-8AB7-3E3241E759B2}"/>
                </c:ext>
              </c:extLst>
            </c:dLbl>
            <c:spPr>
              <a:noFill/>
              <a:ln w="25345">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Blad1!$A$2:$A$7</c:f>
              <c:strCache>
                <c:ptCount val="6"/>
                <c:pt idx="0">
                  <c:v>Policy Area</c:v>
                </c:pt>
                <c:pt idx="1">
                  <c:v>Mobility and Transport</c:v>
                </c:pt>
                <c:pt idx="2">
                  <c:v>Financial stability, financial services and Capital Markets Union</c:v>
                </c:pt>
                <c:pt idx="3">
                  <c:v>Environment</c:v>
                </c:pt>
                <c:pt idx="4">
                  <c:v>Health and food safety</c:v>
                </c:pt>
                <c:pt idx="5">
                  <c:v>Other</c:v>
                </c:pt>
              </c:strCache>
            </c:strRef>
          </c:cat>
          <c:val>
            <c:numRef>
              <c:f>Blad1!$B$2:$B$7</c:f>
              <c:numCache>
                <c:formatCode>General</c:formatCode>
                <c:ptCount val="6"/>
                <c:pt idx="0">
                  <c:v>0</c:v>
                </c:pt>
                <c:pt idx="1">
                  <c:v>9</c:v>
                </c:pt>
                <c:pt idx="2">
                  <c:v>5</c:v>
                </c:pt>
                <c:pt idx="3">
                  <c:v>4</c:v>
                </c:pt>
                <c:pt idx="4">
                  <c:v>3</c:v>
                </c:pt>
                <c:pt idx="5">
                  <c:v>5</c:v>
                </c:pt>
              </c:numCache>
            </c:numRef>
          </c:val>
          <c:extLst xmlns:c16r2="http://schemas.microsoft.com/office/drawing/2015/06/chart">
            <c:ext xmlns:c16="http://schemas.microsoft.com/office/drawing/2014/chart" uri="{C3380CC4-5D6E-409C-BE32-E72D297353CC}">
              <c16:uniqueId val="{0000000E-1A26-4572-8AB7-3E3241E759B2}"/>
            </c:ext>
          </c:extLst>
        </c:ser>
        <c:dLbls>
          <c:showLegendKey val="0"/>
          <c:showVal val="0"/>
          <c:showCatName val="0"/>
          <c:showSerName val="0"/>
          <c:showPercent val="0"/>
          <c:showBubbleSize val="0"/>
          <c:showLeaderLines val="0"/>
        </c:dLbls>
        <c:firstSliceAng val="243"/>
      </c:pieChart>
      <c:spPr>
        <a:noFill/>
        <a:ln w="25345">
          <a:noFill/>
        </a:ln>
      </c:spPr>
    </c:plotArea>
    <c:plotVisOnly val="1"/>
    <c:dispBlanksAs val="gap"/>
    <c:showDLblsOverMax val="0"/>
  </c:chart>
  <c:spPr>
    <a:solidFill>
      <a:schemeClr val="bg1"/>
    </a:solidFill>
    <a:ln w="950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2.8195083287856346E-2"/>
                  <c:y val="7.853167290258930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8D80-4442-ACEA-A2C1E40F6190}"/>
                </c:ext>
              </c:extLst>
            </c:dLbl>
            <c:spPr>
              <a:noFill/>
              <a:ln w="25392">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Blad1!$A$2:$A$6</c:f>
              <c:numCache>
                <c:formatCode>General</c:formatCode>
                <c:ptCount val="5"/>
                <c:pt idx="0">
                  <c:v>2013</c:v>
                </c:pt>
                <c:pt idx="1">
                  <c:v>2014</c:v>
                </c:pt>
                <c:pt idx="2">
                  <c:v>2015</c:v>
                </c:pt>
                <c:pt idx="3">
                  <c:v>2016</c:v>
                </c:pt>
                <c:pt idx="4">
                  <c:v>2017</c:v>
                </c:pt>
              </c:numCache>
            </c:numRef>
          </c:cat>
          <c:val>
            <c:numRef>
              <c:f>Blad1!$B$2:$B$6</c:f>
              <c:numCache>
                <c:formatCode>General</c:formatCode>
                <c:ptCount val="5"/>
                <c:pt idx="0">
                  <c:v>17</c:v>
                </c:pt>
                <c:pt idx="1">
                  <c:v>9</c:v>
                </c:pt>
                <c:pt idx="2">
                  <c:v>15</c:v>
                </c:pt>
                <c:pt idx="3">
                  <c:v>39</c:v>
                </c:pt>
                <c:pt idx="4">
                  <c:v>30</c:v>
                </c:pt>
              </c:numCache>
            </c:numRef>
          </c:val>
          <c:smooth val="0"/>
          <c:extLst xmlns:c16r2="http://schemas.microsoft.com/office/drawing/2015/06/chart">
            <c:ext xmlns:c16="http://schemas.microsoft.com/office/drawing/2014/chart" uri="{C3380CC4-5D6E-409C-BE32-E72D297353CC}">
              <c16:uniqueId val="{00000001-8D80-4442-ACEA-A2C1E40F6190}"/>
            </c:ext>
          </c:extLst>
        </c:ser>
        <c:dLbls>
          <c:showLegendKey val="0"/>
          <c:showVal val="0"/>
          <c:showCatName val="0"/>
          <c:showSerName val="0"/>
          <c:showPercent val="0"/>
          <c:showBubbleSize val="0"/>
        </c:dLbls>
        <c:marker val="1"/>
        <c:smooth val="0"/>
        <c:axId val="332589696"/>
        <c:axId val="332603776"/>
      </c:lineChart>
      <c:catAx>
        <c:axId val="332589696"/>
        <c:scaling>
          <c:orientation val="minMax"/>
        </c:scaling>
        <c:delete val="0"/>
        <c:axPos val="b"/>
        <c:numFmt formatCode="General" sourceLinked="1"/>
        <c:majorTickMark val="none"/>
        <c:minorTickMark val="none"/>
        <c:tickLblPos val="nextTo"/>
        <c:spPr>
          <a:noFill/>
          <a:ln w="12696"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32603776"/>
        <c:crosses val="autoZero"/>
        <c:auto val="1"/>
        <c:lblAlgn val="ctr"/>
        <c:lblOffset val="100"/>
        <c:noMultiLvlLbl val="0"/>
      </c:catAx>
      <c:valAx>
        <c:axId val="332603776"/>
        <c:scaling>
          <c:orientation val="minMax"/>
        </c:scaling>
        <c:delete val="1"/>
        <c:axPos val="l"/>
        <c:majorGridlines>
          <c:spPr>
            <a:ln w="9522" cap="flat" cmpd="sng" algn="ctr">
              <a:solidFill>
                <a:schemeClr val="tx1">
                  <a:lumMod val="15000"/>
                  <a:lumOff val="85000"/>
                </a:schemeClr>
              </a:solidFill>
              <a:round/>
            </a:ln>
            <a:effectLst/>
          </c:spPr>
        </c:majorGridlines>
        <c:numFmt formatCode="General" sourceLinked="1"/>
        <c:majorTickMark val="out"/>
        <c:minorTickMark val="none"/>
        <c:tickLblPos val="nextTo"/>
        <c:crossAx val="332589696"/>
        <c:crosses val="autoZero"/>
        <c:crossBetween val="between"/>
      </c:valAx>
      <c:spPr>
        <a:noFill/>
        <a:ln w="25392">
          <a:noFill/>
        </a:ln>
      </c:spPr>
    </c:plotArea>
    <c:plotVisOnly val="1"/>
    <c:dispBlanksAs val="gap"/>
    <c:showDLblsOverMax val="0"/>
  </c:chart>
  <c:spPr>
    <a:solidFill>
      <a:schemeClr val="bg1"/>
    </a:solidFill>
    <a:ln w="9522"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2"/>
              <c:layout>
                <c:manualLayout>
                  <c:x val="-4.1859185918591862E-2"/>
                  <c:y val="-6.010273972602740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6CC2-4DAF-84A7-24777200AE4A}"/>
                </c:ext>
              </c:extLst>
            </c:dLbl>
            <c:dLbl>
              <c:idx val="3"/>
              <c:layout>
                <c:manualLayout>
                  <c:x val="-5.5805029321829819E-2"/>
                  <c:y val="5.930634954877215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ABFF-4037-A720-CCE863F87DE5}"/>
                </c:ext>
              </c:extLst>
            </c:dLbl>
            <c:spPr>
              <a:noFill/>
              <a:ln w="25395">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General</c:formatCode>
                <c:ptCount val="5"/>
                <c:pt idx="0">
                  <c:v>70</c:v>
                </c:pt>
                <c:pt idx="1">
                  <c:v>72</c:v>
                </c:pt>
                <c:pt idx="2">
                  <c:v>96</c:v>
                </c:pt>
                <c:pt idx="3">
                  <c:v>69</c:v>
                </c:pt>
                <c:pt idx="4">
                  <c:v>56</c:v>
                </c:pt>
              </c:numCache>
            </c:numRef>
          </c:val>
          <c:smooth val="0"/>
          <c:extLst xmlns:c16r2="http://schemas.microsoft.com/office/drawing/2015/06/chart">
            <c:ext xmlns:c16="http://schemas.microsoft.com/office/drawing/2014/chart" uri="{C3380CC4-5D6E-409C-BE32-E72D297353CC}">
              <c16:uniqueId val="{00000001-ABFF-4037-A720-CCE863F87DE5}"/>
            </c:ext>
          </c:extLst>
        </c:ser>
        <c:dLbls>
          <c:showLegendKey val="0"/>
          <c:showVal val="0"/>
          <c:showCatName val="0"/>
          <c:showSerName val="0"/>
          <c:showPercent val="0"/>
          <c:showBubbleSize val="0"/>
        </c:dLbls>
        <c:marker val="1"/>
        <c:smooth val="0"/>
        <c:axId val="142892032"/>
        <c:axId val="142906112"/>
      </c:lineChart>
      <c:catAx>
        <c:axId val="142892032"/>
        <c:scaling>
          <c:orientation val="minMax"/>
        </c:scaling>
        <c:delete val="0"/>
        <c:axPos val="b"/>
        <c:numFmt formatCode="General" sourceLinked="1"/>
        <c:majorTickMark val="none"/>
        <c:minorTickMark val="none"/>
        <c:tickLblPos val="nextTo"/>
        <c:spPr>
          <a:noFill/>
          <a:ln w="12697"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42906112"/>
        <c:crosses val="autoZero"/>
        <c:auto val="1"/>
        <c:lblAlgn val="ctr"/>
        <c:lblOffset val="100"/>
        <c:noMultiLvlLbl val="0"/>
      </c:catAx>
      <c:valAx>
        <c:axId val="142906112"/>
        <c:scaling>
          <c:orientation val="minMax"/>
          <c:min val="50"/>
        </c:scaling>
        <c:delete val="1"/>
        <c:axPos val="l"/>
        <c:majorGridlines>
          <c:spPr>
            <a:ln>
              <a:solidFill>
                <a:srgbClr val="D9D9D9"/>
              </a:solidFill>
            </a:ln>
          </c:spPr>
        </c:majorGridlines>
        <c:numFmt formatCode="General" sourceLinked="1"/>
        <c:majorTickMark val="none"/>
        <c:minorTickMark val="none"/>
        <c:tickLblPos val="none"/>
        <c:crossAx val="142892032"/>
        <c:crosses val="autoZero"/>
        <c:crossBetween val="between"/>
      </c:valAx>
      <c:spPr>
        <a:noFill/>
        <a:ln w="25395">
          <a:noFill/>
        </a:ln>
      </c:spPr>
    </c:plotArea>
    <c:plotVisOnly val="1"/>
    <c:dispBlanksAs val="gap"/>
    <c:showDLblsOverMax val="0"/>
  </c:chart>
  <c:spPr>
    <a:solidFill>
      <a:schemeClr val="bg1"/>
    </a:solidFill>
    <a:ln w="9523"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5.0192837465564737E-2"/>
                  <c:y val="6.113191270671585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7C7A-451D-B783-3E7436F45C44}"/>
                </c:ext>
              </c:extLst>
            </c:dLbl>
            <c:dLbl>
              <c:idx val="4"/>
              <c:layout>
                <c:manualLayout>
                  <c:x val="-3.9173553719008262E-2"/>
                  <c:y val="-6.719114219114219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7C7A-451D-B783-3E7436F45C44}"/>
                </c:ext>
              </c:extLst>
            </c:dLbl>
            <c:spPr>
              <a:noFill/>
              <a:ln w="25392">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Blad1!$A$2:$A$6</c:f>
              <c:numCache>
                <c:formatCode>General</c:formatCode>
                <c:ptCount val="5"/>
                <c:pt idx="0">
                  <c:v>2013</c:v>
                </c:pt>
                <c:pt idx="1">
                  <c:v>2014</c:v>
                </c:pt>
                <c:pt idx="2">
                  <c:v>2015</c:v>
                </c:pt>
                <c:pt idx="3">
                  <c:v>2016</c:v>
                </c:pt>
                <c:pt idx="4">
                  <c:v>2017</c:v>
                </c:pt>
              </c:numCache>
            </c:numRef>
          </c:cat>
          <c:val>
            <c:numRef>
              <c:f>Blad1!$B$2:$B$6</c:f>
              <c:numCache>
                <c:formatCode>General</c:formatCode>
                <c:ptCount val="5"/>
                <c:pt idx="0">
                  <c:v>17</c:v>
                </c:pt>
                <c:pt idx="1">
                  <c:v>17</c:v>
                </c:pt>
                <c:pt idx="2">
                  <c:v>18</c:v>
                </c:pt>
                <c:pt idx="3">
                  <c:v>36</c:v>
                </c:pt>
                <c:pt idx="4">
                  <c:v>25</c:v>
                </c:pt>
              </c:numCache>
            </c:numRef>
          </c:val>
          <c:smooth val="0"/>
          <c:extLst xmlns:c16r2="http://schemas.microsoft.com/office/drawing/2015/06/chart">
            <c:ext xmlns:c16="http://schemas.microsoft.com/office/drawing/2014/chart" uri="{C3380CC4-5D6E-409C-BE32-E72D297353CC}">
              <c16:uniqueId val="{00000002-7C7A-451D-B783-3E7436F45C44}"/>
            </c:ext>
          </c:extLst>
        </c:ser>
        <c:dLbls>
          <c:showLegendKey val="0"/>
          <c:showVal val="0"/>
          <c:showCatName val="0"/>
          <c:showSerName val="0"/>
          <c:showPercent val="0"/>
          <c:showBubbleSize val="0"/>
        </c:dLbls>
        <c:marker val="1"/>
        <c:smooth val="0"/>
        <c:axId val="332641792"/>
        <c:axId val="332643328"/>
      </c:lineChart>
      <c:catAx>
        <c:axId val="332641792"/>
        <c:scaling>
          <c:orientation val="minMax"/>
        </c:scaling>
        <c:delete val="0"/>
        <c:axPos val="b"/>
        <c:numFmt formatCode="General" sourceLinked="1"/>
        <c:majorTickMark val="none"/>
        <c:minorTickMark val="none"/>
        <c:tickLblPos val="nextTo"/>
        <c:spPr>
          <a:noFill/>
          <a:ln w="12696"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32643328"/>
        <c:crosses val="autoZero"/>
        <c:auto val="1"/>
        <c:lblAlgn val="ctr"/>
        <c:lblOffset val="100"/>
        <c:noMultiLvlLbl val="0"/>
      </c:catAx>
      <c:valAx>
        <c:axId val="332643328"/>
        <c:scaling>
          <c:orientation val="minMax"/>
        </c:scaling>
        <c:delete val="1"/>
        <c:axPos val="l"/>
        <c:majorGridlines>
          <c:spPr>
            <a:ln w="9522" cap="flat" cmpd="sng" algn="ctr">
              <a:solidFill>
                <a:schemeClr val="tx1">
                  <a:lumMod val="15000"/>
                  <a:lumOff val="85000"/>
                </a:schemeClr>
              </a:solidFill>
              <a:round/>
            </a:ln>
            <a:effectLst/>
          </c:spPr>
        </c:majorGridlines>
        <c:numFmt formatCode="General" sourceLinked="1"/>
        <c:majorTickMark val="out"/>
        <c:minorTickMark val="none"/>
        <c:tickLblPos val="nextTo"/>
        <c:crossAx val="332641792"/>
        <c:crosses val="autoZero"/>
        <c:crossBetween val="between"/>
      </c:valAx>
      <c:spPr>
        <a:noFill/>
        <a:ln w="25392">
          <a:noFill/>
        </a:ln>
      </c:spPr>
    </c:plotArea>
    <c:plotVisOnly val="1"/>
    <c:dispBlanksAs val="gap"/>
    <c:showDLblsOverMax val="0"/>
  </c:chart>
  <c:spPr>
    <a:solidFill>
      <a:schemeClr val="bg1"/>
    </a:solidFill>
    <a:ln w="9522"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7"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nl-BE" sz="1097" b="0" baseline="0">
                <a:solidFill>
                  <a:srgbClr val="002060"/>
                </a:solidFill>
                <a:latin typeface="Arial" panose="020B0604020202020204" pitchFamily="34" charset="0"/>
                <a:ea typeface="Verdana" panose="020B0604030504040204" pitchFamily="34" charset="0"/>
                <a:cs typeface="Arial" panose="020B0604020202020204" pitchFamily="34" charset="0"/>
              </a:rPr>
              <a:t>25 new </a:t>
            </a:r>
            <a:r>
              <a:rPr lang="nl-BE" sz="1097" b="0">
                <a:solidFill>
                  <a:srgbClr val="002060"/>
                </a:solidFill>
                <a:latin typeface="Arial" panose="020B0604020202020204" pitchFamily="34" charset="0"/>
                <a:ea typeface="Verdana" panose="020B0604030504040204" pitchFamily="34" charset="0"/>
                <a:cs typeface="Arial" panose="020B0604020202020204" pitchFamily="34" charset="0"/>
              </a:rPr>
              <a:t>late transposition infringement cases against </a:t>
            </a:r>
            <a:r>
              <a:rPr lang="en-GB" sz="1097"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Finland</a:t>
            </a:r>
            <a:endParaRPr lang="nl-BE"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w="25329">
          <a:noFill/>
        </a:ln>
      </c:spPr>
    </c:title>
    <c:autoTitleDeleted val="0"/>
    <c:plotArea>
      <c:layout>
        <c:manualLayout>
          <c:layoutTarget val="inner"/>
          <c:xMode val="edge"/>
          <c:yMode val="edge"/>
          <c:x val="0.31614720034995625"/>
          <c:y val="0.26226409198850142"/>
          <c:w val="0.3723354111986002"/>
          <c:h val="0.6382892763404574"/>
        </c:manualLayout>
      </c:layout>
      <c:pieChart>
        <c:varyColors val="1"/>
        <c:ser>
          <c:idx val="0"/>
          <c:order val="0"/>
          <c:spPr>
            <a:scene3d>
              <a:camera prst="orthographicFront"/>
              <a:lightRig rig="threePt" dir="t"/>
            </a:scene3d>
            <a:sp3d>
              <a:bevelT w="63500" h="25400"/>
            </a:sp3d>
          </c:spPr>
          <c:dPt>
            <c:idx val="0"/>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27FE-4AA7-A328-8AB37514FA43}"/>
              </c:ext>
            </c:extLst>
          </c:dPt>
          <c:dPt>
            <c:idx val="1"/>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27FE-4AA7-A328-8AB37514FA43}"/>
              </c:ext>
            </c:extLst>
          </c:dPt>
          <c:dPt>
            <c:idx val="2"/>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27FE-4AA7-A328-8AB37514FA43}"/>
              </c:ext>
            </c:extLst>
          </c:dPt>
          <c:dPt>
            <c:idx val="3"/>
            <c:bubble3D val="0"/>
            <c:spPr>
              <a:solidFill>
                <a:srgbClr val="FF7DFF"/>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27FE-4AA7-A328-8AB37514FA43}"/>
              </c:ext>
            </c:extLst>
          </c:dPt>
          <c:dPt>
            <c:idx val="4"/>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27FE-4AA7-A328-8AB37514FA43}"/>
              </c:ext>
            </c:extLst>
          </c:dPt>
          <c:dPt>
            <c:idx val="5"/>
            <c:bubble3D val="0"/>
            <c:spPr>
              <a:solidFill>
                <a:srgbClr val="95C15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27FE-4AA7-A328-8AB37514FA43}"/>
              </c:ext>
            </c:extLst>
          </c:dPt>
          <c:dPt>
            <c:idx val="6"/>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D-27FE-4AA7-A328-8AB37514FA43}"/>
              </c:ext>
            </c:extLst>
          </c:dPt>
          <c:dLbls>
            <c:dLbl>
              <c:idx val="0"/>
              <c:layout>
                <c:manualLayout>
                  <c:x val="2.2145560293335427E-2"/>
                  <c:y val="1.5948765750075634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27FE-4AA7-A328-8AB37514FA43}"/>
                </c:ext>
              </c:extLst>
            </c:dLbl>
            <c:dLbl>
              <c:idx val="1"/>
              <c:layout>
                <c:manualLayout>
                  <c:x val="-5.4172007568821338E-3"/>
                  <c:y val="0.17653167185877466"/>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27FE-4AA7-A328-8AB37514FA43}"/>
                </c:ext>
              </c:extLst>
            </c:dLbl>
            <c:dLbl>
              <c:idx val="2"/>
              <c:layout>
                <c:manualLayout>
                  <c:x val="4.4516964449211292E-3"/>
                  <c:y val="-1.8426668629038193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27FE-4AA7-A328-8AB37514FA43}"/>
                </c:ext>
              </c:extLst>
            </c:dLbl>
            <c:dLbl>
              <c:idx val="3"/>
              <c:layout>
                <c:manualLayout>
                  <c:x val="5.8152396648093407E-2"/>
                  <c:y val="0"/>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27FE-4AA7-A328-8AB37514FA43}"/>
                </c:ext>
              </c:extLst>
            </c:dLbl>
            <c:dLbl>
              <c:idx val="4"/>
              <c:layout>
                <c:manualLayout>
                  <c:x val="-3.8910979150861953E-2"/>
                  <c:y val="-6.7200595252696213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27FE-4AA7-A328-8AB37514FA43}"/>
                </c:ext>
              </c:extLst>
            </c:dLbl>
            <c:dLbl>
              <c:idx val="5"/>
              <c:layout>
                <c:manualLayout>
                  <c:x val="0"/>
                  <c:y val="0.1029411764705882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27FE-4AA7-A328-8AB37514FA43}"/>
                </c:ext>
              </c:extLst>
            </c:dLbl>
            <c:dLbl>
              <c:idx val="6"/>
              <c:layout>
                <c:manualLayout>
                  <c:x val="-7.7446652871105845E-2"/>
                  <c:y val="3.108251176587964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27FE-4AA7-A328-8AB37514FA43}"/>
                </c:ext>
              </c:extLst>
            </c:dLbl>
            <c:spPr>
              <a:noFill/>
              <a:ln w="25329">
                <a:noFill/>
              </a:ln>
            </c:spPr>
            <c:txPr>
              <a:bodyPr rot="0" spcFirstLastPara="1" vertOverflow="ellipsis" vert="horz" wrap="square" lIns="38100" tIns="19050" rIns="38100" bIns="19050" anchor="ctr" anchorCtr="1">
                <a:spAutoFit/>
              </a:bodyPr>
              <a:lstStyle/>
              <a:p>
                <a:pPr>
                  <a:defRPr sz="848"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Blad1!$A$4:$A$8</c:f>
              <c:strCache>
                <c:ptCount val="5"/>
                <c:pt idx="0">
                  <c:v>Mobility and transport</c:v>
                </c:pt>
                <c:pt idx="1">
                  <c:v>Financial stability, financial services and Capital Markets Union</c:v>
                </c:pt>
                <c:pt idx="2">
                  <c:v>Environment</c:v>
                </c:pt>
                <c:pt idx="3">
                  <c:v>Health and food safety</c:v>
                </c:pt>
                <c:pt idx="4">
                  <c:v>Other</c:v>
                </c:pt>
              </c:strCache>
            </c:strRef>
          </c:cat>
          <c:val>
            <c:numRef>
              <c:f>Blad1!$B$4:$B$8</c:f>
              <c:numCache>
                <c:formatCode>General</c:formatCode>
                <c:ptCount val="5"/>
                <c:pt idx="0">
                  <c:v>8</c:v>
                </c:pt>
                <c:pt idx="1">
                  <c:v>5</c:v>
                </c:pt>
                <c:pt idx="2">
                  <c:v>4</c:v>
                </c:pt>
                <c:pt idx="3">
                  <c:v>3</c:v>
                </c:pt>
                <c:pt idx="4">
                  <c:v>5</c:v>
                </c:pt>
              </c:numCache>
            </c:numRef>
          </c:val>
          <c:extLst xmlns:c16r2="http://schemas.microsoft.com/office/drawing/2015/06/chart">
            <c:ext xmlns:c16="http://schemas.microsoft.com/office/drawing/2014/chart" uri="{C3380CC4-5D6E-409C-BE32-E72D297353CC}">
              <c16:uniqueId val="{0000000E-27FE-4AA7-A328-8AB37514FA43}"/>
            </c:ext>
          </c:extLst>
        </c:ser>
        <c:dLbls>
          <c:showLegendKey val="0"/>
          <c:showVal val="0"/>
          <c:showCatName val="0"/>
          <c:showSerName val="0"/>
          <c:showPercent val="0"/>
          <c:showBubbleSize val="0"/>
          <c:showLeaderLines val="0"/>
        </c:dLbls>
        <c:firstSliceAng val="245"/>
      </c:pieChart>
      <c:spPr>
        <a:noFill/>
        <a:ln w="25329">
          <a:noFill/>
        </a:ln>
      </c:spPr>
    </c:plotArea>
    <c:plotVisOnly val="1"/>
    <c:dispBlanksAs val="gap"/>
    <c:showDLblsOverMax val="0"/>
  </c:chart>
  <c:spPr>
    <a:solidFill>
      <a:schemeClr val="bg1"/>
    </a:solidFill>
    <a:ln w="9498"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4"/>
              <c:layout>
                <c:manualLayout>
                  <c:x val="-2.7860696517412936E-2"/>
                  <c:y val="5.402476780185758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1775-407D-A6CF-ABBD4DC2F38B}"/>
                </c:ext>
              </c:extLst>
            </c:dLbl>
            <c:spPr>
              <a:noFill/>
              <a:ln w="25374">
                <a:noFill/>
              </a:ln>
            </c:spPr>
            <c:txPr>
              <a:bodyPr/>
              <a:lstStyle/>
              <a:p>
                <a:pPr>
                  <a:defRPr sz="899">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General</c:formatCode>
                <c:ptCount val="5"/>
                <c:pt idx="0">
                  <c:v>101</c:v>
                </c:pt>
                <c:pt idx="1">
                  <c:v>97</c:v>
                </c:pt>
                <c:pt idx="2">
                  <c:v>66</c:v>
                </c:pt>
                <c:pt idx="3">
                  <c:v>106</c:v>
                </c:pt>
                <c:pt idx="4">
                  <c:v>111</c:v>
                </c:pt>
              </c:numCache>
            </c:numRef>
          </c:val>
          <c:smooth val="0"/>
          <c:extLst xmlns:c16r2="http://schemas.microsoft.com/office/drawing/2015/06/chart">
            <c:ext xmlns:c16="http://schemas.microsoft.com/office/drawing/2014/chart" uri="{C3380CC4-5D6E-409C-BE32-E72D297353CC}">
              <c16:uniqueId val="{00000001-1775-407D-A6CF-ABBD4DC2F38B}"/>
            </c:ext>
          </c:extLst>
        </c:ser>
        <c:dLbls>
          <c:showLegendKey val="0"/>
          <c:showVal val="0"/>
          <c:showCatName val="0"/>
          <c:showSerName val="0"/>
          <c:showPercent val="0"/>
          <c:showBubbleSize val="0"/>
        </c:dLbls>
        <c:marker val="1"/>
        <c:smooth val="0"/>
        <c:axId val="332962432"/>
        <c:axId val="332980608"/>
      </c:lineChart>
      <c:catAx>
        <c:axId val="332962432"/>
        <c:scaling>
          <c:orientation val="minMax"/>
        </c:scaling>
        <c:delete val="0"/>
        <c:axPos val="b"/>
        <c:numFmt formatCode="General" sourceLinked="1"/>
        <c:majorTickMark val="none"/>
        <c:minorTickMark val="none"/>
        <c:tickLblPos val="nextTo"/>
        <c:spPr>
          <a:noFill/>
          <a:ln w="12687"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32980608"/>
        <c:crosses val="autoZero"/>
        <c:auto val="1"/>
        <c:lblAlgn val="ctr"/>
        <c:lblOffset val="100"/>
        <c:noMultiLvlLbl val="0"/>
      </c:catAx>
      <c:valAx>
        <c:axId val="332980608"/>
        <c:scaling>
          <c:orientation val="minMax"/>
          <c:min val="50"/>
        </c:scaling>
        <c:delete val="1"/>
        <c:axPos val="l"/>
        <c:majorGridlines>
          <c:spPr>
            <a:ln w="9515" cap="flat" cmpd="sng" algn="ctr">
              <a:solidFill>
                <a:schemeClr val="tx1">
                  <a:lumMod val="15000"/>
                  <a:lumOff val="85000"/>
                </a:schemeClr>
              </a:solidFill>
              <a:round/>
            </a:ln>
            <a:effectLst/>
          </c:spPr>
        </c:majorGridlines>
        <c:numFmt formatCode="General" sourceLinked="1"/>
        <c:majorTickMark val="out"/>
        <c:minorTickMark val="none"/>
        <c:tickLblPos val="nextTo"/>
        <c:crossAx val="332962432"/>
        <c:crosses val="autoZero"/>
        <c:crossBetween val="between"/>
      </c:valAx>
      <c:spPr>
        <a:noFill/>
        <a:ln w="25374">
          <a:noFill/>
        </a:ln>
      </c:spPr>
    </c:plotArea>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mn-lt"/>
                <a:ea typeface="+mn-ea"/>
                <a:cs typeface="+mn-cs"/>
              </a:defRPr>
            </a:pPr>
            <a:r>
              <a:rPr lang="en-US" sz="1100" b="0" i="0">
                <a:solidFill>
                  <a:srgbClr val="002060"/>
                </a:solidFill>
                <a:latin typeface="Arial" panose="020B0604020202020204" pitchFamily="34" charset="0"/>
                <a:ea typeface="Verdana" panose="020B0604030504040204" pitchFamily="34" charset="0"/>
                <a:cs typeface="Arial" panose="020B0604020202020204" pitchFamily="34" charset="0"/>
              </a:rPr>
              <a:t>111 complaints made against </a:t>
            </a:r>
            <a:r>
              <a:rPr lang="en-US"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Sweden</a:t>
            </a:r>
            <a:endParaRPr lang="en-US" sz="1100" b="0" i="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w="25403">
          <a:noFill/>
        </a:ln>
      </c:spPr>
    </c:title>
    <c:autoTitleDeleted val="0"/>
    <c:plotArea>
      <c:layout/>
      <c:pieChart>
        <c:varyColors val="1"/>
        <c:ser>
          <c:idx val="0"/>
          <c:order val="0"/>
          <c:tx>
            <c:strRef>
              <c:f>Blad1!$B$1</c:f>
              <c:strCache>
                <c:ptCount val="1"/>
                <c:pt idx="0">
                  <c:v>[Number of new complaints] complaints made against [Member State]</c:v>
                </c:pt>
              </c:strCache>
            </c:strRef>
          </c:tx>
          <c:spPr>
            <a:scene3d>
              <a:camera prst="orthographicFront"/>
              <a:lightRig rig="threePt" dir="t"/>
            </a:scene3d>
            <a:sp3d>
              <a:bevelT w="63500" h="25400"/>
            </a:sp3d>
          </c:spPr>
          <c:dPt>
            <c:idx val="0"/>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5D9D-4CF7-906D-D07CFCC74828}"/>
              </c:ext>
            </c:extLst>
          </c:dPt>
          <c:dPt>
            <c:idx val="1"/>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5D9D-4CF7-906D-D07CFCC74828}"/>
              </c:ext>
            </c:extLst>
          </c:dPt>
          <c:dPt>
            <c:idx val="2"/>
            <c:bubble3D val="0"/>
            <c:spPr>
              <a:solidFill>
                <a:srgbClr val="FF7DF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5D9D-4CF7-906D-D07CFCC74828}"/>
              </c:ext>
            </c:extLst>
          </c:dPt>
          <c:dPt>
            <c:idx val="3"/>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5D9D-4CF7-906D-D07CFCC74828}"/>
              </c:ext>
            </c:extLst>
          </c:dPt>
          <c:dPt>
            <c:idx val="4"/>
            <c:bubble3D val="0"/>
            <c:extLst xmlns:c16r2="http://schemas.microsoft.com/office/drawing/2015/06/chart">
              <c:ext xmlns:c16="http://schemas.microsoft.com/office/drawing/2014/chart" uri="{C3380CC4-5D6E-409C-BE32-E72D297353CC}">
                <c16:uniqueId val="{00000008-5D9D-4CF7-906D-D07CFCC74828}"/>
              </c:ext>
            </c:extLst>
          </c:dPt>
          <c:dLbls>
            <c:dLbl>
              <c:idx val="0"/>
              <c:layout>
                <c:manualLayout>
                  <c:x val="-0.10448185729361147"/>
                  <c:y val="0.19664172683808714"/>
                </c:manualLayout>
              </c:layout>
              <c:spPr>
                <a:noFill/>
                <a:ln w="25403">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5D9D-4CF7-906D-D07CFCC74828}"/>
                </c:ext>
              </c:extLst>
            </c:dLbl>
            <c:dLbl>
              <c:idx val="1"/>
              <c:layout>
                <c:manualLayout>
                  <c:x val="-2.2105906864734692E-2"/>
                  <c:y val="-8.5701527972903806E-3"/>
                </c:manualLayout>
              </c:layout>
              <c:spPr>
                <a:noFill/>
                <a:ln w="25403">
                  <a:noFill/>
                </a:ln>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5D9D-4CF7-906D-D07CFCC74828}"/>
                </c:ext>
              </c:extLst>
            </c:dLbl>
            <c:dLbl>
              <c:idx val="2"/>
              <c:layout>
                <c:manualLayout>
                  <c:x val="-2.7243402647156752E-3"/>
                  <c:y val="3.4946683644742529E-2"/>
                </c:manualLayout>
              </c:layout>
              <c:spPr>
                <a:noFill/>
                <a:ln w="25403">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5D9D-4CF7-906D-D07CFCC74828}"/>
                </c:ext>
              </c:extLst>
            </c:dLbl>
            <c:dLbl>
              <c:idx val="3"/>
              <c:layout>
                <c:manualLayout>
                  <c:x val="-1.1001100110011026E-2"/>
                  <c:y val="3.6803364879074658E-2"/>
                </c:manualLayout>
              </c:layout>
              <c:spPr>
                <a:noFill/>
                <a:ln w="25403">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5D9D-4CF7-906D-D07CFCC74828}"/>
                </c:ext>
              </c:extLst>
            </c:dLbl>
            <c:spPr>
              <a:noFill/>
              <a:ln w="25403">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Blad1!$A$3:$A$6</c:f>
              <c:strCache>
                <c:ptCount val="4"/>
                <c:pt idx="0">
                  <c:v>Justice and consumers</c:v>
                </c:pt>
                <c:pt idx="1">
                  <c:v>Internal market, industry, entrepreneurship and SMEs</c:v>
                </c:pt>
                <c:pt idx="2">
                  <c:v>Health and food safety</c:v>
                </c:pt>
                <c:pt idx="3">
                  <c:v>Other</c:v>
                </c:pt>
              </c:strCache>
            </c:strRef>
          </c:cat>
          <c:val>
            <c:numRef>
              <c:f>Blad1!$B$3:$B$6</c:f>
              <c:numCache>
                <c:formatCode>General</c:formatCode>
                <c:ptCount val="4"/>
                <c:pt idx="0">
                  <c:v>48</c:v>
                </c:pt>
                <c:pt idx="1">
                  <c:v>16</c:v>
                </c:pt>
                <c:pt idx="2">
                  <c:v>9</c:v>
                </c:pt>
                <c:pt idx="3">
                  <c:v>38</c:v>
                </c:pt>
              </c:numCache>
            </c:numRef>
          </c:val>
          <c:extLst xmlns:c16r2="http://schemas.microsoft.com/office/drawing/2015/06/chart">
            <c:ext xmlns:c16="http://schemas.microsoft.com/office/drawing/2014/chart" uri="{C3380CC4-5D6E-409C-BE32-E72D297353CC}">
              <c16:uniqueId val="{00000009-5D9D-4CF7-906D-D07CFCC74828}"/>
            </c:ext>
          </c:extLst>
        </c:ser>
        <c:dLbls>
          <c:showLegendKey val="0"/>
          <c:showVal val="0"/>
          <c:showCatName val="0"/>
          <c:showSerName val="0"/>
          <c:showPercent val="0"/>
          <c:showBubbleSize val="0"/>
          <c:showLeaderLines val="0"/>
        </c:dLbls>
        <c:firstSliceAng val="263"/>
      </c:pieChart>
      <c:spPr>
        <a:noFill/>
        <a:ln w="25403">
          <a:noFill/>
        </a:ln>
      </c:spPr>
    </c:plotArea>
    <c:plotVisOnly val="1"/>
    <c:dispBlanksAs val="gap"/>
    <c:showDLblsOverMax val="0"/>
  </c:chart>
  <c:spPr>
    <a:solidFill>
      <a:schemeClr val="bg1"/>
    </a:solidFill>
    <a:ln w="952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1"/>
              <c:layout>
                <c:manualLayout>
                  <c:x val="-5.8912093143099212E-2"/>
                  <c:y val="8.875250887756677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404B-442D-B961-9EBCCC723A6C}"/>
                </c:ext>
              </c:extLst>
            </c:dLbl>
            <c:spPr>
              <a:noFill/>
              <a:ln w="25410">
                <a:noFill/>
              </a:ln>
            </c:spPr>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General</c:formatCode>
                <c:ptCount val="5"/>
                <c:pt idx="0">
                  <c:v>53</c:v>
                </c:pt>
                <c:pt idx="1">
                  <c:v>27</c:v>
                </c:pt>
                <c:pt idx="2">
                  <c:v>16</c:v>
                </c:pt>
                <c:pt idx="3">
                  <c:v>20</c:v>
                </c:pt>
                <c:pt idx="4">
                  <c:v>6</c:v>
                </c:pt>
              </c:numCache>
            </c:numRef>
          </c:val>
          <c:smooth val="0"/>
          <c:extLst xmlns:c16r2="http://schemas.microsoft.com/office/drawing/2015/06/chart">
            <c:ext xmlns:c16="http://schemas.microsoft.com/office/drawing/2014/chart" uri="{C3380CC4-5D6E-409C-BE32-E72D297353CC}">
              <c16:uniqueId val="{00000001-404B-442D-B961-9EBCCC723A6C}"/>
            </c:ext>
          </c:extLst>
        </c:ser>
        <c:dLbls>
          <c:showLegendKey val="0"/>
          <c:showVal val="0"/>
          <c:showCatName val="0"/>
          <c:showSerName val="0"/>
          <c:showPercent val="0"/>
          <c:showBubbleSize val="0"/>
        </c:dLbls>
        <c:marker val="1"/>
        <c:smooth val="0"/>
        <c:axId val="334306304"/>
        <c:axId val="334312192"/>
      </c:lineChart>
      <c:catAx>
        <c:axId val="334306304"/>
        <c:scaling>
          <c:orientation val="minMax"/>
        </c:scaling>
        <c:delete val="0"/>
        <c:axPos val="b"/>
        <c:numFmt formatCode="General" sourceLinked="1"/>
        <c:majorTickMark val="none"/>
        <c:minorTickMark val="none"/>
        <c:tickLblPos val="nextTo"/>
        <c:spPr>
          <a:noFill/>
          <a:ln w="1270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34312192"/>
        <c:crosses val="autoZero"/>
        <c:auto val="1"/>
        <c:lblAlgn val="ctr"/>
        <c:lblOffset val="100"/>
        <c:noMultiLvlLbl val="0"/>
      </c:catAx>
      <c:valAx>
        <c:axId val="334312192"/>
        <c:scaling>
          <c:orientation val="minMax"/>
        </c:scaling>
        <c:delete val="1"/>
        <c:axPos val="l"/>
        <c:majorGridlines>
          <c:spPr>
            <a:ln w="9529" cap="flat" cmpd="sng" algn="ctr">
              <a:solidFill>
                <a:schemeClr val="tx1">
                  <a:lumMod val="15000"/>
                  <a:lumOff val="85000"/>
                </a:schemeClr>
              </a:solidFill>
              <a:round/>
            </a:ln>
            <a:effectLst/>
          </c:spPr>
        </c:majorGridlines>
        <c:numFmt formatCode="General" sourceLinked="1"/>
        <c:majorTickMark val="out"/>
        <c:minorTickMark val="none"/>
        <c:tickLblPos val="nextTo"/>
        <c:crossAx val="334306304"/>
        <c:crosses val="autoZero"/>
        <c:crossBetween val="between"/>
      </c:valAx>
      <c:spPr>
        <a:noFill/>
        <a:ln w="25410">
          <a:noFill/>
        </a:ln>
      </c:spPr>
    </c:plotArea>
    <c:plotVisOnly val="1"/>
    <c:dispBlanksAs val="gap"/>
    <c:showDLblsOverMax val="0"/>
  </c:chart>
  <c:spPr>
    <a:solidFill>
      <a:schemeClr val="bg1"/>
    </a:solidFill>
    <a:ln w="952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1"/>
              <c:layout>
                <c:manualLayout>
                  <c:x val="-5.0592625589022673E-2"/>
                  <c:y val="9.45195215649946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A28B-4C32-A587-588448DB65C7}"/>
                </c:ext>
              </c:extLst>
            </c:dLbl>
            <c:spPr>
              <a:noFill/>
              <a:ln w="25410">
                <a:noFill/>
              </a:ln>
            </c:spPr>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General</c:formatCode>
                <c:ptCount val="5"/>
                <c:pt idx="0">
                  <c:v>50</c:v>
                </c:pt>
                <c:pt idx="1">
                  <c:v>39</c:v>
                </c:pt>
                <c:pt idx="2">
                  <c:v>29</c:v>
                </c:pt>
                <c:pt idx="3">
                  <c:v>34</c:v>
                </c:pt>
                <c:pt idx="4">
                  <c:v>28</c:v>
                </c:pt>
              </c:numCache>
            </c:numRef>
          </c:val>
          <c:smooth val="0"/>
          <c:extLst xmlns:c16r2="http://schemas.microsoft.com/office/drawing/2015/06/chart">
            <c:ext xmlns:c16="http://schemas.microsoft.com/office/drawing/2014/chart" uri="{C3380CC4-5D6E-409C-BE32-E72D297353CC}">
              <c16:uniqueId val="{00000001-A28B-4C32-A587-588448DB65C7}"/>
            </c:ext>
          </c:extLst>
        </c:ser>
        <c:dLbls>
          <c:showLegendKey val="0"/>
          <c:showVal val="0"/>
          <c:showCatName val="0"/>
          <c:showSerName val="0"/>
          <c:showPercent val="0"/>
          <c:showBubbleSize val="0"/>
        </c:dLbls>
        <c:marker val="1"/>
        <c:smooth val="0"/>
        <c:axId val="334386688"/>
        <c:axId val="334388224"/>
      </c:lineChart>
      <c:catAx>
        <c:axId val="334386688"/>
        <c:scaling>
          <c:orientation val="minMax"/>
        </c:scaling>
        <c:delete val="0"/>
        <c:axPos val="b"/>
        <c:numFmt formatCode="General" sourceLinked="1"/>
        <c:majorTickMark val="none"/>
        <c:minorTickMark val="none"/>
        <c:tickLblPos val="nextTo"/>
        <c:spPr>
          <a:noFill/>
          <a:ln w="1270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34388224"/>
        <c:crosses val="autoZero"/>
        <c:auto val="1"/>
        <c:lblAlgn val="ctr"/>
        <c:lblOffset val="100"/>
        <c:noMultiLvlLbl val="0"/>
      </c:catAx>
      <c:valAx>
        <c:axId val="334388224"/>
        <c:scaling>
          <c:orientation val="minMax"/>
        </c:scaling>
        <c:delete val="1"/>
        <c:axPos val="l"/>
        <c:majorGridlines>
          <c:spPr>
            <a:ln w="9529" cap="flat" cmpd="sng" algn="ctr">
              <a:solidFill>
                <a:schemeClr val="tx1">
                  <a:lumMod val="15000"/>
                  <a:lumOff val="85000"/>
                </a:schemeClr>
              </a:solidFill>
              <a:round/>
            </a:ln>
            <a:effectLst/>
          </c:spPr>
        </c:majorGridlines>
        <c:numFmt formatCode="General" sourceLinked="1"/>
        <c:majorTickMark val="out"/>
        <c:minorTickMark val="none"/>
        <c:tickLblPos val="nextTo"/>
        <c:crossAx val="334386688"/>
        <c:crosses val="autoZero"/>
        <c:crossBetween val="between"/>
      </c:valAx>
      <c:spPr>
        <a:noFill/>
        <a:ln w="25410">
          <a:noFill/>
        </a:ln>
      </c:spPr>
    </c:plotArea>
    <c:plotVisOnly val="1"/>
    <c:dispBlanksAs val="gap"/>
    <c:showDLblsOverMax val="0"/>
  </c:chart>
  <c:spPr>
    <a:solidFill>
      <a:schemeClr val="bg1"/>
    </a:solidFill>
    <a:ln w="952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Arial" panose="020B0604020202020204" pitchFamily="34" charset="0"/>
                <a:cs typeface="Arial" panose="020B0604020202020204" pitchFamily="34" charset="0"/>
              </a:defRPr>
            </a:pPr>
            <a:r>
              <a:rPr lang="en-US" sz="1100" b="0" i="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6 EU Pilot files opened against </a:t>
            </a:r>
            <a:r>
              <a:rPr lang="en-US" sz="1100" b="0" i="0" u="none" strike="noStrike" kern="120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Sweden</a:t>
            </a:r>
            <a:endParaRPr lang="en-GB" sz="1100">
              <a:solidFill>
                <a:srgbClr val="002060"/>
              </a:solidFill>
              <a:effectLst/>
              <a:latin typeface="Arial" panose="020B0604020202020204" pitchFamily="34" charset="0"/>
              <a:ea typeface="Verdana" panose="020B0604030504040204" pitchFamily="34" charset="0"/>
              <a:cs typeface="Arial" panose="020B0604020202020204" pitchFamily="34" charset="0"/>
            </a:endParaRPr>
          </a:p>
        </c:rich>
      </c:tx>
      <c:overlay val="0"/>
    </c:title>
    <c:autoTitleDeleted val="0"/>
    <c:plotArea>
      <c:layout/>
      <c:pieChart>
        <c:varyColors val="1"/>
        <c:ser>
          <c:idx val="0"/>
          <c:order val="0"/>
          <c:tx>
            <c:strRef>
              <c:f>Blad1!$B$1</c:f>
              <c:strCache>
                <c:ptCount val="1"/>
                <c:pt idx="0">
                  <c:v>[Number of new EU Pilot files ] EU Pilot files opened against [Member State]</c:v>
                </c:pt>
              </c:strCache>
            </c:strRef>
          </c:tx>
          <c:spPr>
            <a:scene3d>
              <a:camera prst="orthographicFront"/>
              <a:lightRig rig="threePt" dir="t"/>
            </a:scene3d>
            <a:sp3d>
              <a:bevelT w="63500" h="25400"/>
            </a:sp3d>
          </c:spPr>
          <c:dPt>
            <c:idx val="0"/>
            <c:bubble3D val="0"/>
            <c:spPr>
              <a:solidFill>
                <a:srgbClr val="37ACDE"/>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270A-4A5C-BAD2-76B54BB009BB}"/>
              </c:ext>
            </c:extLst>
          </c:dPt>
          <c:dPt>
            <c:idx val="1"/>
            <c:bubble3D val="0"/>
            <c:spPr>
              <a:solidFill>
                <a:srgbClr val="E7511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270A-4A5C-BAD2-76B54BB009BB}"/>
              </c:ext>
            </c:extLst>
          </c:dPt>
          <c:dPt>
            <c:idx val="2"/>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270A-4A5C-BAD2-76B54BB009BB}"/>
              </c:ext>
            </c:extLst>
          </c:dPt>
          <c:dPt>
            <c:idx val="3"/>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270A-4A5C-BAD2-76B54BB009BB}"/>
              </c:ext>
            </c:extLst>
          </c:dPt>
          <c:dPt>
            <c:idx val="4"/>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270A-4A5C-BAD2-76B54BB009BB}"/>
              </c:ext>
            </c:extLst>
          </c:dPt>
          <c:dLbls>
            <c:dLbl>
              <c:idx val="0"/>
              <c:layout>
                <c:manualLayout>
                  <c:x val="2.9473774794544126E-5"/>
                  <c:y val="-4.6972194881889764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270A-4A5C-BAD2-76B54BB009BB}"/>
                </c:ext>
              </c:extLst>
            </c:dLbl>
            <c:dLbl>
              <c:idx val="1"/>
              <c:layout>
                <c:manualLayout>
                  <c:x val="0.13711909986661502"/>
                  <c:y val="-7.8125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270A-4A5C-BAD2-76B54BB009BB}"/>
                </c:ext>
              </c:extLst>
            </c:dLbl>
            <c:dLbl>
              <c:idx val="2"/>
              <c:layout>
                <c:manualLayout>
                  <c:x val="-8.2269218814753423E-3"/>
                  <c:y val="-1.518188656296011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270A-4A5C-BAD2-76B54BB009BB}"/>
                </c:ext>
              </c:extLst>
            </c:dLbl>
            <c:dLbl>
              <c:idx val="3"/>
              <c:layout>
                <c:manualLayout>
                  <c:x val="-5.8674325545372405E-3"/>
                  <c:y val="8.3855396981627292E-2"/>
                </c:manualLayout>
              </c:layout>
              <c:spPr>
                <a:noFill/>
                <a:ln w="25390">
                  <a:noFill/>
                </a:ln>
              </c:spPr>
              <c:txPr>
                <a:bodyPr/>
                <a:lstStyle/>
                <a:p>
                  <a:pPr>
                    <a:defRPr sz="820">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270A-4A5C-BAD2-76B54BB009BB}"/>
                </c:ext>
              </c:extLst>
            </c:dLbl>
            <c:spPr>
              <a:noFill/>
              <a:ln w="25390">
                <a:noFill/>
              </a:ln>
            </c:spPr>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Blad1!$A$3:$A$6</c:f>
              <c:strCache>
                <c:ptCount val="4"/>
                <c:pt idx="0">
                  <c:v>Climate action</c:v>
                </c:pt>
                <c:pt idx="1">
                  <c:v>Energy</c:v>
                </c:pt>
                <c:pt idx="2">
                  <c:v>Environment</c:v>
                </c:pt>
                <c:pt idx="3">
                  <c:v>Internal market, industry, entrepreneurship and SMEs</c:v>
                </c:pt>
              </c:strCache>
            </c:strRef>
          </c:cat>
          <c:val>
            <c:numRef>
              <c:f>Blad1!$B$3:$B$6</c:f>
              <c:numCache>
                <c:formatCode>General</c:formatCode>
                <c:ptCount val="4"/>
                <c:pt idx="0">
                  <c:v>1</c:v>
                </c:pt>
                <c:pt idx="1">
                  <c:v>1</c:v>
                </c:pt>
                <c:pt idx="2">
                  <c:v>3</c:v>
                </c:pt>
                <c:pt idx="3">
                  <c:v>1</c:v>
                </c:pt>
              </c:numCache>
            </c:numRef>
          </c:val>
          <c:extLst xmlns:c16r2="http://schemas.microsoft.com/office/drawing/2015/06/chart">
            <c:ext xmlns:c16="http://schemas.microsoft.com/office/drawing/2014/chart" uri="{C3380CC4-5D6E-409C-BE32-E72D297353CC}">
              <c16:uniqueId val="{0000000A-270A-4A5C-BAD2-76B54BB009BB}"/>
            </c:ext>
          </c:extLst>
        </c:ser>
        <c:dLbls>
          <c:showLegendKey val="0"/>
          <c:showVal val="0"/>
          <c:showCatName val="0"/>
          <c:showSerName val="0"/>
          <c:showPercent val="0"/>
          <c:showBubbleSize val="0"/>
          <c:showLeaderLines val="0"/>
        </c:dLbls>
        <c:firstSliceAng val="78"/>
      </c:pieChart>
      <c:spPr>
        <a:noFill/>
        <a:ln w="25390">
          <a:noFill/>
        </a:ln>
      </c:spPr>
    </c:plotArea>
    <c:plotVisOnly val="1"/>
    <c:dispBlanksAs val="gap"/>
    <c:showDLblsOverMax val="0"/>
  </c:chart>
  <c:spPr>
    <a:solidFill>
      <a:schemeClr val="bg1"/>
    </a:solidFill>
    <a:ln w="952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Blad1!$B$2</c:f>
              <c:strCache>
                <c:ptCount val="1"/>
                <c:pt idx="0">
                  <c:v>Sweden</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1"/>
              <c:layout>
                <c:manualLayout>
                  <c:x val="-6.8589271168690125E-2"/>
                  <c:y val="6.736559139784946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EDF3-4920-9902-43C1CC492FDB}"/>
                </c:ext>
              </c:extLst>
            </c:dLbl>
            <c:dLbl>
              <c:idx val="2"/>
              <c:layout>
                <c:manualLayout>
                  <c:x val="-4.3912912525278604E-2"/>
                  <c:y val="5.662941325882651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EDF3-4920-9902-43C1CC492FDB}"/>
                </c:ext>
              </c:extLst>
            </c:dLbl>
            <c:dLbl>
              <c:idx val="4"/>
              <c:layout>
                <c:manualLayout>
                  <c:x val="-6.3012348866227794E-2"/>
                  <c:y val="5.661290322580644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EDF3-4920-9902-43C1CC492FDB}"/>
                </c:ext>
              </c:extLst>
            </c:dLbl>
            <c:spPr>
              <a:noFill/>
              <a:ln w="25390">
                <a:noFill/>
              </a:ln>
            </c:spPr>
            <c:txPr>
              <a:bodyPr/>
              <a:lstStyle/>
              <a:p>
                <a:pPr>
                  <a:defRPr sz="90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0%</c:formatCode>
                <c:ptCount val="5"/>
                <c:pt idx="0">
                  <c:v>0.76</c:v>
                </c:pt>
                <c:pt idx="1">
                  <c:v>0.71</c:v>
                </c:pt>
                <c:pt idx="2">
                  <c:v>0.69</c:v>
                </c:pt>
                <c:pt idx="3">
                  <c:v>0.88</c:v>
                </c:pt>
                <c:pt idx="4">
                  <c:v>0.75</c:v>
                </c:pt>
              </c:numCache>
            </c:numRef>
          </c:val>
          <c:smooth val="0"/>
          <c:extLst xmlns:c16r2="http://schemas.microsoft.com/office/drawing/2015/06/chart">
            <c:ext xmlns:c16="http://schemas.microsoft.com/office/drawing/2014/chart" uri="{C3380CC4-5D6E-409C-BE32-E72D297353CC}">
              <c16:uniqueId val="{00000004-D0A0-4941-ACA4-E85AC64A144F}"/>
            </c:ext>
          </c:extLst>
        </c:ser>
        <c:ser>
          <c:idx val="1"/>
          <c:order val="1"/>
          <c:tx>
            <c:strRef>
              <c:f>Blad1!$C$2</c:f>
              <c:strCache>
                <c:ptCount val="1"/>
                <c:pt idx="0">
                  <c:v>General rate for all Member States</c:v>
                </c:pt>
              </c:strCache>
            </c:strRef>
          </c:tx>
          <c:spPr>
            <a:ln w="25390">
              <a:solidFill>
                <a:srgbClr val="92D050"/>
              </a:solidFill>
            </a:ln>
          </c:spPr>
          <c:marker>
            <c:symbol val="square"/>
            <c:size val="4"/>
            <c:spPr>
              <a:solidFill>
                <a:srgbClr val="92D050"/>
              </a:solidFill>
              <a:ln>
                <a:solidFill>
                  <a:srgbClr val="92D050"/>
                </a:solidFill>
              </a:ln>
            </c:spPr>
          </c:marker>
          <c:dLbls>
            <c:spPr>
              <a:noFill/>
              <a:ln w="25390">
                <a:noFill/>
              </a:ln>
            </c:spPr>
            <c:txPr>
              <a:bodyPr/>
              <a:lstStyle/>
              <a:p>
                <a:pPr>
                  <a:defRPr sz="900">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2013</c:v>
                </c:pt>
                <c:pt idx="1">
                  <c:v>2014</c:v>
                </c:pt>
                <c:pt idx="2">
                  <c:v>2015</c:v>
                </c:pt>
                <c:pt idx="3">
                  <c:v>2016</c:v>
                </c:pt>
                <c:pt idx="4">
                  <c:v>2017</c:v>
                </c:pt>
              </c:numCache>
            </c:numRef>
          </c:cat>
          <c:val>
            <c:numRef>
              <c:f>Blad1!$C$3:$C$7</c:f>
              <c:numCache>
                <c:formatCode>0%</c:formatCode>
                <c:ptCount val="5"/>
                <c:pt idx="0">
                  <c:v>0.7</c:v>
                </c:pt>
                <c:pt idx="1">
                  <c:v>0.75</c:v>
                </c:pt>
                <c:pt idx="2">
                  <c:v>0.75</c:v>
                </c:pt>
                <c:pt idx="3">
                  <c:v>0.72</c:v>
                </c:pt>
                <c:pt idx="4">
                  <c:v>0.77</c:v>
                </c:pt>
              </c:numCache>
            </c:numRef>
          </c:val>
          <c:smooth val="0"/>
          <c:extLst xmlns:c16r2="http://schemas.microsoft.com/office/drawing/2015/06/chart">
            <c:ext xmlns:c16="http://schemas.microsoft.com/office/drawing/2014/chart" uri="{C3380CC4-5D6E-409C-BE32-E72D297353CC}">
              <c16:uniqueId val="{00000008-D0A0-4941-ACA4-E85AC64A144F}"/>
            </c:ext>
          </c:extLst>
        </c:ser>
        <c:dLbls>
          <c:showLegendKey val="0"/>
          <c:showVal val="0"/>
          <c:showCatName val="0"/>
          <c:showSerName val="0"/>
          <c:showPercent val="0"/>
          <c:showBubbleSize val="0"/>
        </c:dLbls>
        <c:marker val="1"/>
        <c:smooth val="0"/>
        <c:axId val="334499200"/>
        <c:axId val="334525568"/>
      </c:lineChart>
      <c:catAx>
        <c:axId val="334499200"/>
        <c:scaling>
          <c:orientation val="minMax"/>
        </c:scaling>
        <c:delete val="0"/>
        <c:axPos val="b"/>
        <c:numFmt formatCode="General" sourceLinked="1"/>
        <c:majorTickMark val="none"/>
        <c:minorTickMark val="none"/>
        <c:tickLblPos val="nextTo"/>
        <c:spPr>
          <a:noFill/>
          <a:ln w="1269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34525568"/>
        <c:crosses val="autoZero"/>
        <c:auto val="1"/>
        <c:lblAlgn val="ctr"/>
        <c:lblOffset val="100"/>
        <c:noMultiLvlLbl val="0"/>
      </c:catAx>
      <c:valAx>
        <c:axId val="334525568"/>
        <c:scaling>
          <c:orientation val="minMax"/>
          <c:min val="0.5"/>
        </c:scaling>
        <c:delete val="1"/>
        <c:axPos val="l"/>
        <c:majorGridlines>
          <c:spPr>
            <a:ln w="9521" cap="flat" cmpd="sng" algn="ctr">
              <a:solidFill>
                <a:schemeClr val="tx1">
                  <a:lumMod val="15000"/>
                  <a:lumOff val="85000"/>
                </a:schemeClr>
              </a:solidFill>
              <a:round/>
            </a:ln>
            <a:effectLst/>
          </c:spPr>
        </c:majorGridlines>
        <c:numFmt formatCode="0%" sourceLinked="1"/>
        <c:majorTickMark val="out"/>
        <c:minorTickMark val="none"/>
        <c:tickLblPos val="nextTo"/>
        <c:crossAx val="334499200"/>
        <c:crosses val="autoZero"/>
        <c:crossBetween val="between"/>
      </c:valAx>
      <c:spPr>
        <a:noFill/>
        <a:ln w="25390">
          <a:noFill/>
        </a:ln>
      </c:spPr>
    </c:plotArea>
    <c:legend>
      <c:legendPos val="b"/>
      <c:overlay val="0"/>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2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Lbls>
            <c:dLbl>
              <c:idx val="1"/>
              <c:layout>
                <c:manualLayout>
                  <c:x val="-5.0433594056556882E-2"/>
                  <c:y val="7.528862813716913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EAB6-405E-BFCE-D88B0710FF06}"/>
                </c:ext>
              </c:extLst>
            </c:dLbl>
            <c:spPr>
              <a:noFill/>
              <a:ln w="25372">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Blad1!$A$4:$A$8</c:f>
              <c:numCache>
                <c:formatCode>General</c:formatCode>
                <c:ptCount val="5"/>
                <c:pt idx="0">
                  <c:v>2013</c:v>
                </c:pt>
                <c:pt idx="1">
                  <c:v>2014</c:v>
                </c:pt>
                <c:pt idx="2">
                  <c:v>2015</c:v>
                </c:pt>
                <c:pt idx="3">
                  <c:v>2016</c:v>
                </c:pt>
                <c:pt idx="4">
                  <c:v>2017</c:v>
                </c:pt>
              </c:numCache>
            </c:numRef>
          </c:cat>
          <c:val>
            <c:numRef>
              <c:f>Blad1!$B$4:$B$8</c:f>
              <c:numCache>
                <c:formatCode>General</c:formatCode>
                <c:ptCount val="5"/>
                <c:pt idx="0">
                  <c:v>33</c:v>
                </c:pt>
                <c:pt idx="1">
                  <c:v>33</c:v>
                </c:pt>
                <c:pt idx="2">
                  <c:v>42</c:v>
                </c:pt>
                <c:pt idx="3">
                  <c:v>50</c:v>
                </c:pt>
                <c:pt idx="4">
                  <c:v>48</c:v>
                </c:pt>
              </c:numCache>
            </c:numRef>
          </c:val>
          <c:smooth val="0"/>
          <c:extLst xmlns:c16r2="http://schemas.microsoft.com/office/drawing/2015/06/chart">
            <c:ext xmlns:c16="http://schemas.microsoft.com/office/drawing/2014/chart" uri="{C3380CC4-5D6E-409C-BE32-E72D297353CC}">
              <c16:uniqueId val="{00000001-EAB6-405E-BFCE-D88B0710FF06}"/>
            </c:ext>
          </c:extLst>
        </c:ser>
        <c:dLbls>
          <c:showLegendKey val="0"/>
          <c:showVal val="0"/>
          <c:showCatName val="0"/>
          <c:showSerName val="0"/>
          <c:showPercent val="0"/>
          <c:showBubbleSize val="0"/>
        </c:dLbls>
        <c:marker val="1"/>
        <c:smooth val="0"/>
        <c:axId val="334633216"/>
        <c:axId val="334635008"/>
      </c:lineChart>
      <c:catAx>
        <c:axId val="334633216"/>
        <c:scaling>
          <c:orientation val="minMax"/>
        </c:scaling>
        <c:delete val="0"/>
        <c:axPos val="b"/>
        <c:numFmt formatCode="General" sourceLinked="1"/>
        <c:majorTickMark val="none"/>
        <c:minorTickMark val="none"/>
        <c:tickLblPos val="nextTo"/>
        <c:spPr>
          <a:noFill/>
          <a:ln w="12686"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34635008"/>
        <c:crosses val="autoZero"/>
        <c:auto val="1"/>
        <c:lblAlgn val="ctr"/>
        <c:lblOffset val="100"/>
        <c:noMultiLvlLbl val="0"/>
      </c:catAx>
      <c:valAx>
        <c:axId val="334635008"/>
        <c:scaling>
          <c:orientation val="minMax"/>
          <c:min val="25"/>
        </c:scaling>
        <c:delete val="1"/>
        <c:axPos val="l"/>
        <c:majorGridlines>
          <c:spPr>
            <a:ln w="9515" cap="flat" cmpd="sng" algn="ctr">
              <a:solidFill>
                <a:schemeClr val="tx1">
                  <a:lumMod val="15000"/>
                  <a:lumOff val="85000"/>
                </a:schemeClr>
              </a:solidFill>
              <a:round/>
            </a:ln>
            <a:effectLst/>
          </c:spPr>
        </c:majorGridlines>
        <c:numFmt formatCode="General" sourceLinked="1"/>
        <c:majorTickMark val="out"/>
        <c:minorTickMark val="none"/>
        <c:tickLblPos val="nextTo"/>
        <c:crossAx val="334633216"/>
        <c:crosses val="autoZero"/>
        <c:crossBetween val="between"/>
      </c:valAx>
      <c:spPr>
        <a:noFill/>
        <a:ln w="25372">
          <a:noFill/>
        </a:ln>
      </c:spPr>
    </c:plotArea>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7"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US" sz="1097" b="0" baseline="0">
                <a:solidFill>
                  <a:srgbClr val="002060"/>
                </a:solidFill>
                <a:latin typeface="Arial" panose="020B0604020202020204" pitchFamily="34" charset="0"/>
                <a:ea typeface="Verdana" panose="020B0604030504040204" pitchFamily="34" charset="0"/>
                <a:cs typeface="Arial" panose="020B0604020202020204" pitchFamily="34" charset="0"/>
              </a:rPr>
              <a:t>19 new </a:t>
            </a:r>
            <a:r>
              <a:rPr lang="en-US" sz="1097"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against</a:t>
            </a:r>
            <a:r>
              <a:rPr lang="en-US" sz="1097" b="0" baseline="0">
                <a:solidFill>
                  <a:srgbClr val="002060"/>
                </a:solidFill>
                <a:latin typeface="Arial" panose="020B0604020202020204" pitchFamily="34" charset="0"/>
                <a:ea typeface="Verdana" panose="020B0604030504040204" pitchFamily="34" charset="0"/>
                <a:cs typeface="Arial" panose="020B0604020202020204" pitchFamily="34" charset="0"/>
              </a:rPr>
              <a:t> </a:t>
            </a:r>
            <a:r>
              <a:rPr lang="en-US" sz="1097"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Sweden</a:t>
            </a:r>
            <a:endParaRPr lang="en-US"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6218115768277933"/>
          <c:y val="3.2786975952330287E-2"/>
        </c:manualLayout>
      </c:layout>
      <c:overlay val="0"/>
      <c:spPr>
        <a:noFill/>
        <a:ln w="25329">
          <a:noFill/>
        </a:ln>
      </c:spPr>
    </c:title>
    <c:autoTitleDeleted val="0"/>
    <c:plotArea>
      <c:layout/>
      <c:pieChart>
        <c:varyColors val="1"/>
        <c:ser>
          <c:idx val="0"/>
          <c:order val="0"/>
          <c:tx>
            <c:strRef>
              <c:f>Blad1!$B$1</c:f>
              <c:strCache>
                <c:ptCount val="1"/>
                <c:pt idx="0">
                  <c:v>[Number of infringement cases] infringement cases against Austria</c:v>
                </c:pt>
              </c:strCache>
            </c:strRef>
          </c:tx>
          <c:spPr>
            <a:scene3d>
              <a:camera prst="orthographicFront"/>
              <a:lightRig rig="threePt" dir="t"/>
            </a:scene3d>
            <a:sp3d>
              <a:bevelT w="63500" h="25400"/>
            </a:sp3d>
          </c:spPr>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138A-4034-BE96-99C31B1C1023}"/>
              </c:ext>
            </c:extLst>
          </c:dPt>
          <c:dPt>
            <c:idx val="1"/>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138A-4034-BE96-99C31B1C1023}"/>
              </c:ext>
            </c:extLst>
          </c:dPt>
          <c:dPt>
            <c:idx val="2"/>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138A-4034-BE96-99C31B1C1023}"/>
              </c:ext>
            </c:extLst>
          </c:dPt>
          <c:dPt>
            <c:idx val="3"/>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138A-4034-BE96-99C31B1C1023}"/>
              </c:ext>
            </c:extLst>
          </c:dPt>
          <c:dPt>
            <c:idx val="4"/>
            <c:bubble3D val="0"/>
            <c:spPr>
              <a:solidFill>
                <a:srgbClr val="E7511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138A-4034-BE96-99C31B1C1023}"/>
              </c:ext>
            </c:extLst>
          </c:dPt>
          <c:dPt>
            <c:idx val="5"/>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138A-4034-BE96-99C31B1C1023}"/>
              </c:ext>
            </c:extLst>
          </c:dPt>
          <c:dPt>
            <c:idx val="6"/>
            <c:bubble3D val="0"/>
            <c:spPr>
              <a:solidFill>
                <a:srgbClr val="7030A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D-138A-4034-BE96-99C31B1C1023}"/>
              </c:ext>
            </c:extLst>
          </c:dPt>
          <c:dPt>
            <c:idx val="7"/>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F-138A-4034-BE96-99C31B1C1023}"/>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38A-4034-BE96-99C31B1C1023}"/>
                </c:ext>
              </c:extLst>
            </c:dLbl>
            <c:dLbl>
              <c:idx val="1"/>
              <c:layout>
                <c:manualLayout>
                  <c:x val="5.8209851472392903E-2"/>
                  <c:y val="-0.13211462134306384"/>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138A-4034-BE96-99C31B1C1023}"/>
                </c:ext>
              </c:extLst>
            </c:dLbl>
            <c:dLbl>
              <c:idx val="2"/>
              <c:layout>
                <c:manualLayout>
                  <c:x val="-2.2216253750311162E-2"/>
                  <c:y val="5.0812608027655082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138A-4034-BE96-99C31B1C1023}"/>
                </c:ext>
              </c:extLst>
            </c:dLbl>
            <c:dLbl>
              <c:idx val="3"/>
              <c:layout>
                <c:manualLayout>
                  <c:x val="3.1514405125316072E-2"/>
                  <c:y val="-3.9532520325203255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138A-4034-BE96-99C31B1C1023}"/>
                </c:ext>
              </c:extLst>
            </c:dLbl>
            <c:dLbl>
              <c:idx val="4"/>
              <c:layout>
                <c:manualLayout>
                  <c:x val="2.4921936754577892E-2"/>
                  <c:y val="4.9652711094040072E-4"/>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138A-4034-BE96-99C31B1C1023}"/>
                </c:ext>
              </c:extLst>
            </c:dLbl>
            <c:dLbl>
              <c:idx val="5"/>
              <c:layout>
                <c:manualLayout>
                  <c:x val="1.1059801441616958E-2"/>
                  <c:y val="-1.925634295713030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138A-4034-BE96-99C31B1C1023}"/>
                </c:ext>
              </c:extLst>
            </c:dLbl>
            <c:dLbl>
              <c:idx val="6"/>
              <c:layout>
                <c:manualLayout>
                  <c:x val="5.5090611683416869E-3"/>
                  <c:y val="-2.8512248468941383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38A-4034-BE96-99C31B1C1023}"/>
                </c:ext>
              </c:extLst>
            </c:dLbl>
            <c:dLbl>
              <c:idx val="7"/>
              <c:layout>
                <c:manualLayout>
                  <c:x val="4.7119864741484808E-2"/>
                  <c:y val="-0.1444444444444444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138A-4034-BE96-99C31B1C1023}"/>
                </c:ext>
              </c:extLst>
            </c:dLbl>
            <c:spPr>
              <a:noFill/>
              <a:ln w="25329">
                <a:noFill/>
              </a:ln>
            </c:spPr>
            <c:txPr>
              <a:bodyPr rot="0" spcFirstLastPara="1" vertOverflow="ellipsis" vert="horz" wrap="square" lIns="38100" tIns="19050" rIns="38100" bIns="19050" anchor="ctr" anchorCtr="1">
                <a:spAutoFit/>
              </a:bodyPr>
              <a:lstStyle/>
              <a:p>
                <a:pPr>
                  <a:defRPr sz="848"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Blad1!$A$2:$A$7</c:f>
              <c:strCache>
                <c:ptCount val="6"/>
                <c:pt idx="0">
                  <c:v>Policy Area</c:v>
                </c:pt>
                <c:pt idx="1">
                  <c:v>Environment</c:v>
                </c:pt>
                <c:pt idx="2">
                  <c:v>Mobility and transport</c:v>
                </c:pt>
                <c:pt idx="3">
                  <c:v>Financial stability, financial services and Capital Markets Union</c:v>
                </c:pt>
                <c:pt idx="4">
                  <c:v>Energy</c:v>
                </c:pt>
                <c:pt idx="5">
                  <c:v>Other</c:v>
                </c:pt>
              </c:strCache>
            </c:strRef>
          </c:cat>
          <c:val>
            <c:numRef>
              <c:f>Blad1!$B$2:$B$7</c:f>
              <c:numCache>
                <c:formatCode>General</c:formatCode>
                <c:ptCount val="6"/>
                <c:pt idx="0">
                  <c:v>0</c:v>
                </c:pt>
                <c:pt idx="1">
                  <c:v>6</c:v>
                </c:pt>
                <c:pt idx="2">
                  <c:v>5</c:v>
                </c:pt>
                <c:pt idx="3">
                  <c:v>3</c:v>
                </c:pt>
                <c:pt idx="4">
                  <c:v>2</c:v>
                </c:pt>
                <c:pt idx="5">
                  <c:v>3</c:v>
                </c:pt>
              </c:numCache>
            </c:numRef>
          </c:val>
          <c:extLst xmlns:c16r2="http://schemas.microsoft.com/office/drawing/2015/06/chart">
            <c:ext xmlns:c16="http://schemas.microsoft.com/office/drawing/2014/chart" uri="{C3380CC4-5D6E-409C-BE32-E72D297353CC}">
              <c16:uniqueId val="{00000010-138A-4034-BE96-99C31B1C1023}"/>
            </c:ext>
          </c:extLst>
        </c:ser>
        <c:dLbls>
          <c:showLegendKey val="0"/>
          <c:showVal val="0"/>
          <c:showCatName val="0"/>
          <c:showSerName val="0"/>
          <c:showPercent val="0"/>
          <c:showBubbleSize val="0"/>
          <c:showLeaderLines val="0"/>
        </c:dLbls>
        <c:firstSliceAng val="238"/>
      </c:pieChart>
      <c:spPr>
        <a:noFill/>
        <a:ln w="25329">
          <a:noFill/>
        </a:ln>
      </c:spPr>
    </c:plotArea>
    <c:plotVisOnly val="1"/>
    <c:dispBlanksAs val="gap"/>
    <c:showDLblsOverMax val="0"/>
  </c:chart>
  <c:spPr>
    <a:solidFill>
      <a:schemeClr val="bg1"/>
    </a:solidFill>
    <a:ln w="9498"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9" b="0" i="0" u="none" strike="noStrike" kern="1200" baseline="0">
                <a:solidFill>
                  <a:srgbClr val="002060"/>
                </a:solidFill>
                <a:latin typeface="+mn-lt"/>
                <a:ea typeface="+mn-ea"/>
                <a:cs typeface="+mn-cs"/>
              </a:defRPr>
            </a:pPr>
            <a:r>
              <a:rPr lang="en-US" sz="1099" b="0" i="0">
                <a:solidFill>
                  <a:srgbClr val="002060"/>
                </a:solidFill>
                <a:latin typeface="Arial" panose="020B0604020202020204" pitchFamily="34" charset="0"/>
                <a:ea typeface="Verdana" panose="020B0604030504040204" pitchFamily="34" charset="0"/>
                <a:cs typeface="Arial" panose="020B0604020202020204" pitchFamily="34" charset="0"/>
              </a:rPr>
              <a:t>56 complaints made against </a:t>
            </a:r>
            <a:r>
              <a:rPr lang="en-US" sz="10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Hungary</a:t>
            </a:r>
            <a:endParaRPr lang="en-US" sz="1100" b="0" i="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overlay val="0"/>
      <c:spPr>
        <a:noFill/>
        <a:ln w="25386">
          <a:noFill/>
        </a:ln>
      </c:spPr>
    </c:title>
    <c:autoTitleDeleted val="0"/>
    <c:plotArea>
      <c:layout/>
      <c:pieChart>
        <c:varyColors val="1"/>
        <c:ser>
          <c:idx val="0"/>
          <c:order val="0"/>
          <c:spPr>
            <a:scene3d>
              <a:camera prst="orthographicFront"/>
              <a:lightRig rig="threePt" dir="t"/>
            </a:scene3d>
            <a:sp3d>
              <a:bevelT w="63500" h="25400"/>
            </a:sp3d>
          </c:spPr>
          <c:dPt>
            <c:idx val="0"/>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7689-4692-B2F3-7048EB8C4721}"/>
              </c:ext>
            </c:extLst>
          </c:dPt>
          <c:dPt>
            <c:idx val="1"/>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7689-4692-B2F3-7048EB8C4721}"/>
              </c:ext>
            </c:extLst>
          </c:dPt>
          <c:dPt>
            <c:idx val="2"/>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7689-4692-B2F3-7048EB8C4721}"/>
              </c:ext>
            </c:extLst>
          </c:dPt>
          <c:dPt>
            <c:idx val="3"/>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7689-4692-B2F3-7048EB8C4721}"/>
              </c:ext>
            </c:extLst>
          </c:dPt>
          <c:dLbls>
            <c:dLbl>
              <c:idx val="0"/>
              <c:layout>
                <c:manualLayout>
                  <c:x val="-1.6510014170306633E-2"/>
                  <c:y val="6.6491015546133653E-2"/>
                </c:manualLayout>
              </c:layout>
              <c:spPr>
                <a:noFill/>
                <a:ln w="25386">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7689-4692-B2F3-7048EB8C4721}"/>
                </c:ext>
              </c:extLst>
            </c:dLbl>
            <c:dLbl>
              <c:idx val="1"/>
              <c:layout>
                <c:manualLayout>
                  <c:x val="-2.0284477427334569E-2"/>
                  <c:y val="7.0650111043811831E-2"/>
                </c:manualLayout>
              </c:layout>
              <c:spPr>
                <a:noFill/>
                <a:ln w="25386">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7689-4692-B2F3-7048EB8C4721}"/>
                </c:ext>
              </c:extLst>
            </c:dLbl>
            <c:dLbl>
              <c:idx val="2"/>
              <c:layout>
                <c:manualLayout>
                  <c:x val="-6.6056028710696881E-3"/>
                  <c:y val="4.717141126589941E-2"/>
                </c:manualLayout>
              </c:layout>
              <c:tx>
                <c:rich>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r>
                      <a:rPr lang="en-US" sz="850"/>
                      <a:t>Internal market, industry, entrepreneurship  </a:t>
                    </a:r>
                  </a:p>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r>
                      <a:rPr lang="en-US" sz="850"/>
                      <a:t>and SMEs
8</a:t>
                    </a:r>
                  </a:p>
                </c:rich>
              </c:tx>
              <c:spPr>
                <a:noFill/>
                <a:ln w="25386">
                  <a:noFill/>
                </a:ln>
              </c:spPr>
              <c:dLblPos val="bestFit"/>
              <c:showLegendKey val="1"/>
              <c:showVal val="0"/>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7689-4692-B2F3-7048EB8C4721}"/>
                </c:ext>
              </c:extLst>
            </c:dLbl>
            <c:dLbl>
              <c:idx val="3"/>
              <c:layout>
                <c:manualLayout>
                  <c:x val="-0.14925783627695888"/>
                  <c:y val="-0.26153846153846155"/>
                </c:manualLayout>
              </c:layout>
              <c:spPr>
                <a:noFill/>
                <a:ln w="25386">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7689-4692-B2F3-7048EB8C4721}"/>
                </c:ext>
              </c:extLst>
            </c:dLbl>
            <c:spPr>
              <a:noFill/>
              <a:ln w="25386">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Blad1!$A$3:$A$6</c:f>
              <c:strCache>
                <c:ptCount val="4"/>
                <c:pt idx="0">
                  <c:v>Justice and consumers</c:v>
                </c:pt>
                <c:pt idx="1">
                  <c:v>Taxation and customs</c:v>
                </c:pt>
                <c:pt idx="2">
                  <c:v>Internal market, industry, entrepreneurship and SMEs</c:v>
                </c:pt>
                <c:pt idx="3">
                  <c:v>Other</c:v>
                </c:pt>
              </c:strCache>
            </c:strRef>
          </c:cat>
          <c:val>
            <c:numRef>
              <c:f>Blad1!$B$3:$B$6</c:f>
              <c:numCache>
                <c:formatCode>General</c:formatCode>
                <c:ptCount val="4"/>
                <c:pt idx="0">
                  <c:v>13</c:v>
                </c:pt>
                <c:pt idx="1">
                  <c:v>8</c:v>
                </c:pt>
                <c:pt idx="2">
                  <c:v>8</c:v>
                </c:pt>
                <c:pt idx="3">
                  <c:v>27</c:v>
                </c:pt>
              </c:numCache>
            </c:numRef>
          </c:val>
          <c:extLst xmlns:c16r2="http://schemas.microsoft.com/office/drawing/2015/06/chart">
            <c:ext xmlns:c16="http://schemas.microsoft.com/office/drawing/2014/chart" uri="{C3380CC4-5D6E-409C-BE32-E72D297353CC}">
              <c16:uniqueId val="{00000008-7689-4692-B2F3-7048EB8C4721}"/>
            </c:ext>
          </c:extLst>
        </c:ser>
        <c:dLbls>
          <c:showLegendKey val="0"/>
          <c:showVal val="0"/>
          <c:showCatName val="0"/>
          <c:showSerName val="0"/>
          <c:showPercent val="0"/>
          <c:showBubbleSize val="0"/>
          <c:showLeaderLines val="0"/>
        </c:dLbls>
        <c:firstSliceAng val="279"/>
      </c:pieChart>
      <c:spPr>
        <a:noFill/>
        <a:ln w="25386">
          <a:noFill/>
        </a:ln>
      </c:spPr>
    </c:plotArea>
    <c:plotVisOnly val="1"/>
    <c:dispBlanksAs val="gap"/>
    <c:showDLblsOverMax val="0"/>
  </c:chart>
  <c:spPr>
    <a:solidFill>
      <a:schemeClr val="bg1"/>
    </a:solidFill>
    <a:ln w="952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4.2378576005758478E-2"/>
                  <c:y val="6.512530691728049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4804-4DD3-A87B-E00D5E3EF3BD}"/>
                </c:ext>
              </c:extLst>
            </c:dLbl>
            <c:spPr>
              <a:noFill/>
              <a:ln w="25398">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Blad1!$A$2:$A$6</c:f>
              <c:numCache>
                <c:formatCode>General</c:formatCode>
                <c:ptCount val="5"/>
                <c:pt idx="0">
                  <c:v>2013</c:v>
                </c:pt>
                <c:pt idx="1">
                  <c:v>2014</c:v>
                </c:pt>
                <c:pt idx="2">
                  <c:v>2015</c:v>
                </c:pt>
                <c:pt idx="3">
                  <c:v>2016</c:v>
                </c:pt>
                <c:pt idx="4">
                  <c:v>2017</c:v>
                </c:pt>
              </c:numCache>
            </c:numRef>
          </c:cat>
          <c:val>
            <c:numRef>
              <c:f>Blad1!$B$2:$B$6</c:f>
              <c:numCache>
                <c:formatCode>General</c:formatCode>
                <c:ptCount val="5"/>
                <c:pt idx="0">
                  <c:v>7</c:v>
                </c:pt>
                <c:pt idx="1">
                  <c:v>6</c:v>
                </c:pt>
                <c:pt idx="2">
                  <c:v>13</c:v>
                </c:pt>
                <c:pt idx="3">
                  <c:v>25</c:v>
                </c:pt>
                <c:pt idx="4">
                  <c:v>26</c:v>
                </c:pt>
              </c:numCache>
            </c:numRef>
          </c:val>
          <c:smooth val="0"/>
          <c:extLst xmlns:c16r2="http://schemas.microsoft.com/office/drawing/2015/06/chart">
            <c:ext xmlns:c16="http://schemas.microsoft.com/office/drawing/2014/chart" uri="{C3380CC4-5D6E-409C-BE32-E72D297353CC}">
              <c16:uniqueId val="{00000001-4804-4DD3-A87B-E00D5E3EF3BD}"/>
            </c:ext>
          </c:extLst>
        </c:ser>
        <c:dLbls>
          <c:showLegendKey val="0"/>
          <c:showVal val="0"/>
          <c:showCatName val="0"/>
          <c:showSerName val="0"/>
          <c:showPercent val="0"/>
          <c:showBubbleSize val="0"/>
        </c:dLbls>
        <c:marker val="1"/>
        <c:smooth val="0"/>
        <c:axId val="334795904"/>
        <c:axId val="334797440"/>
      </c:lineChart>
      <c:catAx>
        <c:axId val="334795904"/>
        <c:scaling>
          <c:orientation val="minMax"/>
        </c:scaling>
        <c:delete val="0"/>
        <c:axPos val="b"/>
        <c:numFmt formatCode="General" sourceLinked="1"/>
        <c:majorTickMark val="none"/>
        <c:minorTickMark val="none"/>
        <c:tickLblPos val="nextTo"/>
        <c:spPr>
          <a:noFill/>
          <a:ln w="12699"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34797440"/>
        <c:crosses val="autoZero"/>
        <c:auto val="1"/>
        <c:lblAlgn val="ctr"/>
        <c:lblOffset val="100"/>
        <c:noMultiLvlLbl val="0"/>
      </c:catAx>
      <c:valAx>
        <c:axId val="334797440"/>
        <c:scaling>
          <c:orientation val="minMax"/>
        </c:scaling>
        <c:delete val="1"/>
        <c:axPos val="l"/>
        <c:majorGridlines>
          <c:spPr>
            <a:ln w="9524" cap="flat" cmpd="sng" algn="ctr">
              <a:solidFill>
                <a:schemeClr val="tx1">
                  <a:lumMod val="15000"/>
                  <a:lumOff val="85000"/>
                </a:schemeClr>
              </a:solidFill>
              <a:round/>
            </a:ln>
            <a:effectLst/>
          </c:spPr>
        </c:majorGridlines>
        <c:numFmt formatCode="General" sourceLinked="1"/>
        <c:majorTickMark val="out"/>
        <c:minorTickMark val="none"/>
        <c:tickLblPos val="nextTo"/>
        <c:crossAx val="334795904"/>
        <c:crosses val="autoZero"/>
        <c:crossBetween val="between"/>
      </c:valAx>
      <c:spPr>
        <a:noFill/>
        <a:ln w="25398">
          <a:noFill/>
        </a:ln>
      </c:spPr>
    </c:plotArea>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3.9591508001299167E-2"/>
                  <c:y val="6.512530691728039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5476-4C12-98BA-9274C5E7731F}"/>
                </c:ext>
              </c:extLst>
            </c:dLbl>
            <c:spPr>
              <a:noFill/>
              <a:ln w="25398">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Blad1!$A$2:$A$6</c:f>
              <c:numCache>
                <c:formatCode>General</c:formatCode>
                <c:ptCount val="5"/>
                <c:pt idx="0">
                  <c:v>2013</c:v>
                </c:pt>
                <c:pt idx="1">
                  <c:v>2014</c:v>
                </c:pt>
                <c:pt idx="2">
                  <c:v>2015</c:v>
                </c:pt>
                <c:pt idx="3">
                  <c:v>2016</c:v>
                </c:pt>
                <c:pt idx="4">
                  <c:v>2017</c:v>
                </c:pt>
              </c:numCache>
            </c:numRef>
          </c:cat>
          <c:val>
            <c:numRef>
              <c:f>Blad1!$B$2:$B$6</c:f>
              <c:numCache>
                <c:formatCode>General</c:formatCode>
                <c:ptCount val="5"/>
                <c:pt idx="0">
                  <c:v>9</c:v>
                </c:pt>
                <c:pt idx="1">
                  <c:v>7</c:v>
                </c:pt>
                <c:pt idx="2">
                  <c:v>23</c:v>
                </c:pt>
                <c:pt idx="3">
                  <c:v>22</c:v>
                </c:pt>
                <c:pt idx="4">
                  <c:v>16</c:v>
                </c:pt>
              </c:numCache>
            </c:numRef>
          </c:val>
          <c:smooth val="0"/>
          <c:extLst xmlns:c16r2="http://schemas.microsoft.com/office/drawing/2015/06/chart">
            <c:ext xmlns:c16="http://schemas.microsoft.com/office/drawing/2014/chart" uri="{C3380CC4-5D6E-409C-BE32-E72D297353CC}">
              <c16:uniqueId val="{00000001-5476-4C12-98BA-9274C5E7731F}"/>
            </c:ext>
          </c:extLst>
        </c:ser>
        <c:dLbls>
          <c:showLegendKey val="0"/>
          <c:showVal val="0"/>
          <c:showCatName val="0"/>
          <c:showSerName val="0"/>
          <c:showPercent val="0"/>
          <c:showBubbleSize val="0"/>
        </c:dLbls>
        <c:marker val="1"/>
        <c:smooth val="0"/>
        <c:axId val="334818688"/>
        <c:axId val="334832768"/>
      </c:lineChart>
      <c:catAx>
        <c:axId val="334818688"/>
        <c:scaling>
          <c:orientation val="minMax"/>
        </c:scaling>
        <c:delete val="0"/>
        <c:axPos val="b"/>
        <c:numFmt formatCode="General" sourceLinked="1"/>
        <c:majorTickMark val="none"/>
        <c:minorTickMark val="none"/>
        <c:tickLblPos val="nextTo"/>
        <c:spPr>
          <a:noFill/>
          <a:ln w="12699"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34832768"/>
        <c:crosses val="autoZero"/>
        <c:auto val="1"/>
        <c:lblAlgn val="ctr"/>
        <c:lblOffset val="100"/>
        <c:noMultiLvlLbl val="0"/>
      </c:catAx>
      <c:valAx>
        <c:axId val="334832768"/>
        <c:scaling>
          <c:orientation val="minMax"/>
        </c:scaling>
        <c:delete val="1"/>
        <c:axPos val="l"/>
        <c:majorGridlines>
          <c:spPr>
            <a:ln w="9524" cap="flat" cmpd="sng" algn="ctr">
              <a:solidFill>
                <a:schemeClr val="tx1">
                  <a:lumMod val="15000"/>
                  <a:lumOff val="85000"/>
                </a:schemeClr>
              </a:solidFill>
              <a:round/>
            </a:ln>
            <a:effectLst/>
          </c:spPr>
        </c:majorGridlines>
        <c:numFmt formatCode="General" sourceLinked="1"/>
        <c:majorTickMark val="out"/>
        <c:minorTickMark val="none"/>
        <c:tickLblPos val="nextTo"/>
        <c:crossAx val="334818688"/>
        <c:crosses val="autoZero"/>
        <c:crossBetween val="between"/>
      </c:valAx>
      <c:spPr>
        <a:noFill/>
        <a:ln w="25398">
          <a:noFill/>
        </a:ln>
      </c:spPr>
    </c:plotArea>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7"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nl-BE" sz="1097" b="0" baseline="0">
                <a:solidFill>
                  <a:srgbClr val="002060"/>
                </a:solidFill>
                <a:latin typeface="Arial" panose="020B0604020202020204" pitchFamily="34" charset="0"/>
                <a:ea typeface="Verdana" panose="020B0604030504040204" pitchFamily="34" charset="0"/>
                <a:cs typeface="Arial" panose="020B0604020202020204" pitchFamily="34" charset="0"/>
              </a:rPr>
              <a:t>16 new </a:t>
            </a:r>
            <a:r>
              <a:rPr lang="nl-BE" sz="1097" b="0">
                <a:solidFill>
                  <a:srgbClr val="002060"/>
                </a:solidFill>
                <a:latin typeface="Arial" panose="020B0604020202020204" pitchFamily="34" charset="0"/>
                <a:ea typeface="Verdana" panose="020B0604030504040204" pitchFamily="34" charset="0"/>
                <a:cs typeface="Arial" panose="020B0604020202020204" pitchFamily="34" charset="0"/>
              </a:rPr>
              <a:t>late transposition infringement cases against </a:t>
            </a:r>
            <a:r>
              <a:rPr lang="en-GB" sz="1097"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Sweden</a:t>
            </a:r>
            <a:endParaRPr lang="nl-BE"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301132411452102"/>
          <c:y val="3.3185989682324189E-2"/>
        </c:manualLayout>
      </c:layout>
      <c:overlay val="0"/>
      <c:spPr>
        <a:noFill/>
        <a:ln w="25326">
          <a:noFill/>
        </a:ln>
      </c:spPr>
    </c:title>
    <c:autoTitleDeleted val="0"/>
    <c:plotArea>
      <c:layout>
        <c:manualLayout>
          <c:layoutTarget val="inner"/>
          <c:xMode val="edge"/>
          <c:yMode val="edge"/>
          <c:x val="0.31614720034995625"/>
          <c:y val="0.26226409198850142"/>
          <c:w val="0.3723354111986002"/>
          <c:h val="0.6382892763404574"/>
        </c:manualLayout>
      </c:layout>
      <c:pieChart>
        <c:varyColors val="1"/>
        <c:ser>
          <c:idx val="0"/>
          <c:order val="0"/>
          <c:spPr>
            <a:scene3d>
              <a:camera prst="orthographicFront"/>
              <a:lightRig rig="threePt" dir="t"/>
            </a:scene3d>
            <a:sp3d>
              <a:bevelT w="63500" h="25400"/>
            </a:sp3d>
          </c:spPr>
          <c:dPt>
            <c:idx val="0"/>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C079-4676-B5A0-71D0E9EA8C39}"/>
              </c:ext>
            </c:extLst>
          </c:dPt>
          <c:dPt>
            <c:idx val="1"/>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C079-4676-B5A0-71D0E9EA8C39}"/>
              </c:ext>
            </c:extLst>
          </c:dPt>
          <c:dPt>
            <c:idx val="2"/>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C079-4676-B5A0-71D0E9EA8C39}"/>
              </c:ext>
            </c:extLst>
          </c:dPt>
          <c:dPt>
            <c:idx val="3"/>
            <c:bubble3D val="0"/>
            <c:spPr>
              <a:solidFill>
                <a:srgbClr val="95C15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C079-4676-B5A0-71D0E9EA8C39}"/>
              </c:ext>
            </c:extLst>
          </c:dPt>
          <c:dPt>
            <c:idx val="4"/>
            <c:bubble3D val="0"/>
            <c:spPr>
              <a:solidFill>
                <a:srgbClr val="FF990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C079-4676-B5A0-71D0E9EA8C39}"/>
              </c:ext>
            </c:extLst>
          </c:dPt>
          <c:dPt>
            <c:idx val="5"/>
            <c:bubble3D val="0"/>
            <c:spPr>
              <a:solidFill>
                <a:srgbClr val="37ACDE"/>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C079-4676-B5A0-71D0E9EA8C39}"/>
              </c:ext>
            </c:extLst>
          </c:dPt>
          <c:dPt>
            <c:idx val="6"/>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D-C079-4676-B5A0-71D0E9EA8C39}"/>
              </c:ext>
            </c:extLst>
          </c:dPt>
          <c:dLbls>
            <c:dLbl>
              <c:idx val="0"/>
              <c:layout>
                <c:manualLayout>
                  <c:x val="3.3147908750212195E-2"/>
                  <c:y val="0.14586984766439079"/>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079-4676-B5A0-71D0E9EA8C39}"/>
                </c:ext>
              </c:extLst>
            </c:dLbl>
            <c:dLbl>
              <c:idx val="1"/>
              <c:layout>
                <c:manualLayout>
                  <c:x val="-1.0198134437175453E-2"/>
                  <c:y val="-1.6611295681063124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C079-4676-B5A0-71D0E9EA8C39}"/>
                </c:ext>
              </c:extLst>
            </c:dLbl>
            <c:dLbl>
              <c:idx val="2"/>
              <c:layout>
                <c:manualLayout>
                  <c:x val="-7.1797947647261801E-2"/>
                  <c:y val="0.15074770359378428"/>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C079-4676-B5A0-71D0E9EA8C39}"/>
                </c:ext>
              </c:extLst>
            </c:dLbl>
            <c:dLbl>
              <c:idx val="3"/>
              <c:layout>
                <c:manualLayout>
                  <c:x val="-2.7639579878385875E-2"/>
                  <c:y val="0"/>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079-4676-B5A0-71D0E9EA8C39}"/>
                </c:ext>
              </c:extLst>
            </c:dLbl>
            <c:dLbl>
              <c:idx val="4"/>
              <c:layout>
                <c:manualLayout>
                  <c:x val="1.1066420073738398E-2"/>
                  <c:y val="2.7511155465917047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C079-4676-B5A0-71D0E9EA8C39}"/>
                </c:ext>
              </c:extLst>
            </c:dLbl>
            <c:dLbl>
              <c:idx val="5"/>
              <c:layout>
                <c:manualLayout>
                  <c:x val="1.658374792703151E-2"/>
                  <c:y val="-6.090808416389807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C079-4676-B5A0-71D0E9EA8C39}"/>
                </c:ext>
              </c:extLst>
            </c:dLbl>
            <c:dLbl>
              <c:idx val="6"/>
              <c:layout>
                <c:manualLayout>
                  <c:x val="0.10229520831042842"/>
                  <c:y val="-7.746125630923891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C079-4676-B5A0-71D0E9EA8C39}"/>
                </c:ext>
              </c:extLst>
            </c:dLbl>
            <c:spPr>
              <a:noFill/>
              <a:ln w="25326">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Blad1!$A$4:$A$10</c:f>
              <c:strCache>
                <c:ptCount val="7"/>
                <c:pt idx="0">
                  <c:v>Internal market, industry, entrepreneurship and SMEs</c:v>
                </c:pt>
                <c:pt idx="1">
                  <c:v>Financial stability, financial services and Capital Markets Union</c:v>
                </c:pt>
                <c:pt idx="2">
                  <c:v>Environment</c:v>
                </c:pt>
                <c:pt idx="3">
                  <c:v>Communication networks</c:v>
                </c:pt>
                <c:pt idx="4">
                  <c:v>Mobility and transport</c:v>
                </c:pt>
                <c:pt idx="5">
                  <c:v>Migration and home affairs</c:v>
                </c:pt>
                <c:pt idx="6">
                  <c:v>Other</c:v>
                </c:pt>
              </c:strCache>
            </c:strRef>
          </c:cat>
          <c:val>
            <c:numRef>
              <c:f>Blad1!$B$4:$B$10</c:f>
              <c:numCache>
                <c:formatCode>General</c:formatCode>
                <c:ptCount val="7"/>
                <c:pt idx="1">
                  <c:v>3</c:v>
                </c:pt>
                <c:pt idx="2">
                  <c:v>5</c:v>
                </c:pt>
                <c:pt idx="4">
                  <c:v>4</c:v>
                </c:pt>
                <c:pt idx="6">
                  <c:v>4</c:v>
                </c:pt>
              </c:numCache>
            </c:numRef>
          </c:val>
          <c:extLst xmlns:c16r2="http://schemas.microsoft.com/office/drawing/2015/06/chart">
            <c:ext xmlns:c16="http://schemas.microsoft.com/office/drawing/2014/chart" uri="{C3380CC4-5D6E-409C-BE32-E72D297353CC}">
              <c16:uniqueId val="{0000000E-C079-4676-B5A0-71D0E9EA8C39}"/>
            </c:ext>
          </c:extLst>
        </c:ser>
        <c:dLbls>
          <c:showLegendKey val="0"/>
          <c:showVal val="0"/>
          <c:showCatName val="0"/>
          <c:showSerName val="0"/>
          <c:showPercent val="0"/>
          <c:showBubbleSize val="0"/>
          <c:showLeaderLines val="0"/>
        </c:dLbls>
        <c:firstSliceAng val="198"/>
      </c:pieChart>
      <c:spPr>
        <a:noFill/>
        <a:ln w="25326">
          <a:noFill/>
        </a:ln>
      </c:spPr>
    </c:plotArea>
    <c:plotVisOnly val="1"/>
    <c:dispBlanksAs val="gap"/>
    <c:showDLblsOverMax val="0"/>
  </c:chart>
  <c:spPr>
    <a:solidFill>
      <a:schemeClr val="bg1"/>
    </a:solidFill>
    <a:ln w="9497"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2"/>
              <c:layout>
                <c:manualLayout>
                  <c:x val="-5.0102846961101573E-2"/>
                  <c:y val="7.169253603682926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AE3E-46C2-B148-1EE7EE6C0F37}"/>
                </c:ext>
              </c:extLst>
            </c:dLbl>
            <c:spPr>
              <a:noFill/>
              <a:ln w="25372">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General</c:formatCode>
                <c:ptCount val="5"/>
                <c:pt idx="0">
                  <c:v>224</c:v>
                </c:pt>
                <c:pt idx="1">
                  <c:v>187</c:v>
                </c:pt>
                <c:pt idx="2">
                  <c:v>189</c:v>
                </c:pt>
                <c:pt idx="3">
                  <c:v>150</c:v>
                </c:pt>
                <c:pt idx="4">
                  <c:v>154</c:v>
                </c:pt>
              </c:numCache>
            </c:numRef>
          </c:val>
          <c:smooth val="0"/>
          <c:extLst xmlns:c16r2="http://schemas.microsoft.com/office/drawing/2015/06/chart">
            <c:ext xmlns:c16="http://schemas.microsoft.com/office/drawing/2014/chart" uri="{C3380CC4-5D6E-409C-BE32-E72D297353CC}">
              <c16:uniqueId val="{00000001-AE3E-46C2-B148-1EE7EE6C0F37}"/>
            </c:ext>
          </c:extLst>
        </c:ser>
        <c:dLbls>
          <c:showLegendKey val="0"/>
          <c:showVal val="0"/>
          <c:showCatName val="0"/>
          <c:showSerName val="0"/>
          <c:showPercent val="0"/>
          <c:showBubbleSize val="0"/>
        </c:dLbls>
        <c:marker val="1"/>
        <c:smooth val="0"/>
        <c:axId val="335155584"/>
        <c:axId val="335157120"/>
      </c:lineChart>
      <c:catAx>
        <c:axId val="335155584"/>
        <c:scaling>
          <c:orientation val="minMax"/>
        </c:scaling>
        <c:delete val="0"/>
        <c:axPos val="b"/>
        <c:numFmt formatCode="General" sourceLinked="1"/>
        <c:majorTickMark val="none"/>
        <c:minorTickMark val="none"/>
        <c:tickLblPos val="nextTo"/>
        <c:spPr>
          <a:noFill/>
          <a:ln w="12686"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35157120"/>
        <c:crosses val="autoZero"/>
        <c:auto val="1"/>
        <c:lblAlgn val="ctr"/>
        <c:lblOffset val="100"/>
        <c:noMultiLvlLbl val="0"/>
      </c:catAx>
      <c:valAx>
        <c:axId val="335157120"/>
        <c:scaling>
          <c:orientation val="minMax"/>
        </c:scaling>
        <c:delete val="1"/>
        <c:axPos val="l"/>
        <c:majorGridlines>
          <c:spPr>
            <a:ln w="9515" cap="flat" cmpd="sng" algn="ctr">
              <a:solidFill>
                <a:schemeClr val="tx1">
                  <a:lumMod val="15000"/>
                  <a:lumOff val="85000"/>
                </a:schemeClr>
              </a:solidFill>
              <a:round/>
            </a:ln>
            <a:effectLst/>
          </c:spPr>
        </c:majorGridlines>
        <c:numFmt formatCode="General" sourceLinked="1"/>
        <c:majorTickMark val="out"/>
        <c:minorTickMark val="none"/>
        <c:tickLblPos val="nextTo"/>
        <c:crossAx val="335155584"/>
        <c:crosses val="autoZero"/>
        <c:crossBetween val="between"/>
      </c:valAx>
      <c:spPr>
        <a:noFill/>
        <a:ln w="25372">
          <a:noFill/>
        </a:ln>
      </c:spPr>
    </c:plotArea>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Arial" panose="020B0604020202020204" pitchFamily="34" charset="0"/>
                <a:cs typeface="Arial" panose="020B0604020202020204" pitchFamily="34" charset="0"/>
              </a:defRPr>
            </a:pPr>
            <a:r>
              <a:rPr lang="en-US" sz="1100" b="0" i="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154 Complaints opened against </a:t>
            </a:r>
            <a:r>
              <a:rPr lang="en-US" sz="1100" b="0" i="0" u="none" strike="noStrike" kern="120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United Kingdom</a:t>
            </a:r>
            <a:endParaRPr lang="en-GB" sz="1100">
              <a:solidFill>
                <a:srgbClr val="002060"/>
              </a:solidFill>
              <a:effectLst/>
              <a:latin typeface="Arial" panose="020B0604020202020204" pitchFamily="34" charset="0"/>
              <a:ea typeface="Verdana" panose="020B0604030504040204" pitchFamily="34" charset="0"/>
              <a:cs typeface="Arial" panose="020B0604020202020204" pitchFamily="34" charset="0"/>
            </a:endParaRPr>
          </a:p>
        </c:rich>
      </c:tx>
      <c:overlay val="0"/>
    </c:title>
    <c:autoTitleDeleted val="0"/>
    <c:plotArea>
      <c:layout/>
      <c:pieChart>
        <c:varyColors val="1"/>
        <c:ser>
          <c:idx val="0"/>
          <c:order val="0"/>
          <c:tx>
            <c:strRef>
              <c:f>Blad1!$B$1</c:f>
              <c:strCache>
                <c:ptCount val="1"/>
                <c:pt idx="0">
                  <c:v>[Number of new complaints] complaints made against [Member State]</c:v>
                </c:pt>
              </c:strCache>
            </c:strRef>
          </c:tx>
          <c:spPr>
            <a:scene3d>
              <a:camera prst="orthographicFront"/>
              <a:lightRig rig="threePt" dir="t"/>
            </a:scene3d>
            <a:sp3d>
              <a:bevelT w="63500" h="25400"/>
            </a:sp3d>
          </c:spPr>
          <c:dPt>
            <c:idx val="0"/>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9B32-4B7B-9805-B6F91BB5770C}"/>
              </c:ext>
            </c:extLst>
          </c:dPt>
          <c:dPt>
            <c:idx val="1"/>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9B32-4B7B-9805-B6F91BB5770C}"/>
              </c:ext>
            </c:extLst>
          </c:dPt>
          <c:dPt>
            <c:idx val="2"/>
            <c:bubble3D val="0"/>
            <c:spPr>
              <a:solidFill>
                <a:srgbClr val="FFD617"/>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9B32-4B7B-9805-B6F91BB5770C}"/>
              </c:ext>
            </c:extLst>
          </c:dPt>
          <c:dPt>
            <c:idx val="3"/>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9B32-4B7B-9805-B6F91BB5770C}"/>
              </c:ext>
            </c:extLst>
          </c:dPt>
          <c:dPt>
            <c:idx val="4"/>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9B32-4B7B-9805-B6F91BB5770C}"/>
              </c:ext>
            </c:extLst>
          </c:dPt>
          <c:dLbls>
            <c:dLbl>
              <c:idx val="0"/>
              <c:layout>
                <c:manualLayout>
                  <c:x val="2.9868551267157203E-2"/>
                  <c:y val="-7.3280352339858426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9B32-4B7B-9805-B6F91BB5770C}"/>
                </c:ext>
              </c:extLst>
            </c:dLbl>
            <c:dLbl>
              <c:idx val="1"/>
              <c:layout>
                <c:manualLayout>
                  <c:x val="-2.1502301966352565E-2"/>
                  <c:y val="5.1599180907340142E-2"/>
                </c:manualLayout>
              </c:layout>
              <c:tx>
                <c:rich>
                  <a:bodyPr/>
                  <a:lstStyle/>
                  <a:p>
                    <a:pPr>
                      <a:defRPr sz="820">
                        <a:latin typeface="Arial" panose="020B0604020202020204" pitchFamily="34" charset="0"/>
                        <a:ea typeface="Verdana" panose="020B0604030504040204" pitchFamily="34" charset="0"/>
                        <a:cs typeface="Arial" panose="020B0604020202020204" pitchFamily="34" charset="0"/>
                      </a:defRPr>
                    </a:pPr>
                    <a:r>
                      <a:rPr lang="en-US" sz="820"/>
                      <a:t>Internal market, industry, entrepreneurship and SMEs
27</a:t>
                    </a:r>
                  </a:p>
                </c:rich>
              </c:tx>
              <c:spPr>
                <a:noFill/>
                <a:ln w="25390">
                  <a:noFill/>
                </a:ln>
              </c:sp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9B32-4B7B-9805-B6F91BB5770C}"/>
                </c:ext>
              </c:extLst>
            </c:dLbl>
            <c:dLbl>
              <c:idx val="2"/>
              <c:layout>
                <c:manualLayout>
                  <c:x val="1.3401531775741148E-2"/>
                  <c:y val="-5.0578159154254322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9B32-4B7B-9805-B6F91BB5770C}"/>
                </c:ext>
              </c:extLst>
            </c:dLbl>
            <c:dLbl>
              <c:idx val="3"/>
              <c:layout>
                <c:manualLayout>
                  <c:x val="7.9249171722387157E-2"/>
                  <c:y val="-2.57758221398794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9B32-4B7B-9805-B6F91BB5770C}"/>
                </c:ext>
              </c:extLst>
            </c:dLbl>
            <c:dLbl>
              <c:idx val="4"/>
              <c:layout>
                <c:manualLayout>
                  <c:x val="-2.1929824561403508E-2"/>
                  <c:y val="-7.621951219512195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9B32-4B7B-9805-B6F91BB5770C}"/>
                </c:ext>
              </c:extLst>
            </c:dLbl>
            <c:spPr>
              <a:noFill/>
              <a:ln w="25390">
                <a:noFill/>
              </a:ln>
            </c:spPr>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Blad1!$A$3:$A$6</c:f>
              <c:strCache>
                <c:ptCount val="4"/>
                <c:pt idx="0">
                  <c:v>Justice and consumers</c:v>
                </c:pt>
                <c:pt idx="1">
                  <c:v>Internal market, industry, entrepreneurship and SMEs</c:v>
                </c:pt>
                <c:pt idx="2">
                  <c:v>Employment</c:v>
                </c:pt>
                <c:pt idx="3">
                  <c:v>Other</c:v>
                </c:pt>
              </c:strCache>
            </c:strRef>
          </c:cat>
          <c:val>
            <c:numRef>
              <c:f>Blad1!$B$3:$B$6</c:f>
              <c:numCache>
                <c:formatCode>General</c:formatCode>
                <c:ptCount val="4"/>
                <c:pt idx="0">
                  <c:v>75</c:v>
                </c:pt>
                <c:pt idx="1">
                  <c:v>27</c:v>
                </c:pt>
                <c:pt idx="2">
                  <c:v>16</c:v>
                </c:pt>
                <c:pt idx="3">
                  <c:v>36</c:v>
                </c:pt>
              </c:numCache>
            </c:numRef>
          </c:val>
          <c:extLst xmlns:c16r2="http://schemas.microsoft.com/office/drawing/2015/06/chart">
            <c:ext xmlns:c16="http://schemas.microsoft.com/office/drawing/2014/chart" uri="{C3380CC4-5D6E-409C-BE32-E72D297353CC}">
              <c16:uniqueId val="{0000000A-9B32-4B7B-9805-B6F91BB5770C}"/>
            </c:ext>
          </c:extLst>
        </c:ser>
        <c:dLbls>
          <c:showLegendKey val="0"/>
          <c:showVal val="0"/>
          <c:showCatName val="0"/>
          <c:showSerName val="0"/>
          <c:showPercent val="0"/>
          <c:showBubbleSize val="0"/>
          <c:showLeaderLines val="0"/>
        </c:dLbls>
        <c:firstSliceAng val="207"/>
      </c:pieChart>
      <c:spPr>
        <a:noFill/>
        <a:ln w="25390">
          <a:noFill/>
        </a:ln>
      </c:spPr>
    </c:plotArea>
    <c:plotVisOnly val="1"/>
    <c:dispBlanksAs val="gap"/>
    <c:showDLblsOverMax val="0"/>
  </c:chart>
  <c:spPr>
    <a:solidFill>
      <a:schemeClr val="bg1"/>
    </a:solidFill>
    <a:ln w="952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4"/>
              <c:layout>
                <c:manualLayout>
                  <c:x val="-1.1663902708678727E-2"/>
                  <c:y val="2.483333333333333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1239-4963-9315-DA5A2026A872}"/>
                </c:ext>
              </c:extLst>
            </c:dLbl>
            <c:spPr>
              <a:noFill/>
              <a:ln w="25372">
                <a:noFill/>
              </a:ln>
            </c:spPr>
            <c:txPr>
              <a:bodyPr/>
              <a:lstStyle/>
              <a:p>
                <a:pPr>
                  <a:defRPr sz="899">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General</c:formatCode>
                <c:ptCount val="5"/>
                <c:pt idx="0">
                  <c:v>60</c:v>
                </c:pt>
                <c:pt idx="1">
                  <c:v>49</c:v>
                </c:pt>
                <c:pt idx="2">
                  <c:v>33</c:v>
                </c:pt>
                <c:pt idx="3">
                  <c:v>21</c:v>
                </c:pt>
                <c:pt idx="4">
                  <c:v>6</c:v>
                </c:pt>
              </c:numCache>
            </c:numRef>
          </c:val>
          <c:smooth val="0"/>
          <c:extLst xmlns:c16r2="http://schemas.microsoft.com/office/drawing/2015/06/chart">
            <c:ext xmlns:c16="http://schemas.microsoft.com/office/drawing/2014/chart" uri="{C3380CC4-5D6E-409C-BE32-E72D297353CC}">
              <c16:uniqueId val="{00000001-1239-4963-9315-DA5A2026A872}"/>
            </c:ext>
          </c:extLst>
        </c:ser>
        <c:dLbls>
          <c:showLegendKey val="0"/>
          <c:showVal val="0"/>
          <c:showCatName val="0"/>
          <c:showSerName val="0"/>
          <c:showPercent val="0"/>
          <c:showBubbleSize val="0"/>
        </c:dLbls>
        <c:marker val="1"/>
        <c:smooth val="0"/>
        <c:axId val="335286656"/>
        <c:axId val="335288192"/>
      </c:lineChart>
      <c:catAx>
        <c:axId val="335286656"/>
        <c:scaling>
          <c:orientation val="minMax"/>
        </c:scaling>
        <c:delete val="0"/>
        <c:axPos val="b"/>
        <c:numFmt formatCode="General" sourceLinked="1"/>
        <c:majorTickMark val="none"/>
        <c:minorTickMark val="none"/>
        <c:tickLblPos val="nextTo"/>
        <c:spPr>
          <a:noFill/>
          <a:ln w="12686"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35288192"/>
        <c:crosses val="autoZero"/>
        <c:auto val="1"/>
        <c:lblAlgn val="ctr"/>
        <c:lblOffset val="100"/>
        <c:noMultiLvlLbl val="0"/>
      </c:catAx>
      <c:valAx>
        <c:axId val="335288192"/>
        <c:scaling>
          <c:orientation val="minMax"/>
        </c:scaling>
        <c:delete val="1"/>
        <c:axPos val="l"/>
        <c:majorGridlines>
          <c:spPr>
            <a:ln w="9515" cap="flat" cmpd="sng" algn="ctr">
              <a:solidFill>
                <a:schemeClr val="tx1">
                  <a:lumMod val="15000"/>
                  <a:lumOff val="85000"/>
                </a:schemeClr>
              </a:solidFill>
              <a:round/>
            </a:ln>
            <a:effectLst/>
          </c:spPr>
        </c:majorGridlines>
        <c:numFmt formatCode="General" sourceLinked="1"/>
        <c:majorTickMark val="out"/>
        <c:minorTickMark val="none"/>
        <c:tickLblPos val="nextTo"/>
        <c:crossAx val="335286656"/>
        <c:crosses val="autoZero"/>
        <c:crossBetween val="between"/>
      </c:valAx>
      <c:spPr>
        <a:noFill/>
        <a:ln w="25372">
          <a:noFill/>
        </a:ln>
      </c:spPr>
    </c:plotArea>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4"/>
              <c:layout>
                <c:manualLayout>
                  <c:x val="-1.1663902708678727E-2"/>
                  <c:y val="2.483333333333333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71B5-4CC1-8AE6-75B8897AD6D4}"/>
                </c:ext>
              </c:extLst>
            </c:dLbl>
            <c:spPr>
              <a:noFill/>
              <a:ln w="25372">
                <a:noFill/>
              </a:ln>
            </c:spPr>
            <c:txPr>
              <a:bodyPr/>
              <a:lstStyle/>
              <a:p>
                <a:pPr>
                  <a:defRPr sz="899">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General</c:formatCode>
                <c:ptCount val="5"/>
                <c:pt idx="0">
                  <c:v>89</c:v>
                </c:pt>
                <c:pt idx="1">
                  <c:v>67</c:v>
                </c:pt>
                <c:pt idx="2">
                  <c:v>57</c:v>
                </c:pt>
                <c:pt idx="3">
                  <c:v>45</c:v>
                </c:pt>
                <c:pt idx="4">
                  <c:v>38</c:v>
                </c:pt>
              </c:numCache>
            </c:numRef>
          </c:val>
          <c:smooth val="0"/>
          <c:extLst xmlns:c16r2="http://schemas.microsoft.com/office/drawing/2015/06/chart">
            <c:ext xmlns:c16="http://schemas.microsoft.com/office/drawing/2014/chart" uri="{C3380CC4-5D6E-409C-BE32-E72D297353CC}">
              <c16:uniqueId val="{00000001-71B5-4CC1-8AE6-75B8897AD6D4}"/>
            </c:ext>
          </c:extLst>
        </c:ser>
        <c:dLbls>
          <c:showLegendKey val="0"/>
          <c:showVal val="0"/>
          <c:showCatName val="0"/>
          <c:showSerName val="0"/>
          <c:showPercent val="0"/>
          <c:showBubbleSize val="0"/>
        </c:dLbls>
        <c:marker val="1"/>
        <c:smooth val="0"/>
        <c:axId val="335362688"/>
        <c:axId val="335376768"/>
      </c:lineChart>
      <c:catAx>
        <c:axId val="335362688"/>
        <c:scaling>
          <c:orientation val="minMax"/>
        </c:scaling>
        <c:delete val="0"/>
        <c:axPos val="b"/>
        <c:numFmt formatCode="General" sourceLinked="1"/>
        <c:majorTickMark val="none"/>
        <c:minorTickMark val="none"/>
        <c:tickLblPos val="nextTo"/>
        <c:spPr>
          <a:noFill/>
          <a:ln w="12686"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35376768"/>
        <c:crosses val="autoZero"/>
        <c:auto val="1"/>
        <c:lblAlgn val="ctr"/>
        <c:lblOffset val="100"/>
        <c:noMultiLvlLbl val="0"/>
      </c:catAx>
      <c:valAx>
        <c:axId val="335376768"/>
        <c:scaling>
          <c:orientation val="minMax"/>
          <c:min val="20"/>
        </c:scaling>
        <c:delete val="1"/>
        <c:axPos val="l"/>
        <c:majorGridlines>
          <c:spPr>
            <a:ln w="9515" cap="flat" cmpd="sng" algn="ctr">
              <a:solidFill>
                <a:schemeClr val="tx1">
                  <a:lumMod val="15000"/>
                  <a:lumOff val="85000"/>
                </a:schemeClr>
              </a:solidFill>
              <a:round/>
            </a:ln>
            <a:effectLst/>
          </c:spPr>
        </c:majorGridlines>
        <c:numFmt formatCode="General" sourceLinked="1"/>
        <c:majorTickMark val="out"/>
        <c:minorTickMark val="none"/>
        <c:tickLblPos val="nextTo"/>
        <c:crossAx val="335362688"/>
        <c:crosses val="autoZero"/>
        <c:crossBetween val="between"/>
      </c:valAx>
      <c:spPr>
        <a:noFill/>
        <a:ln w="25372">
          <a:noFill/>
        </a:ln>
      </c:spPr>
    </c:plotArea>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Arial" panose="020B0604020202020204" pitchFamily="34" charset="0"/>
                <a:cs typeface="Arial" panose="020B0604020202020204" pitchFamily="34" charset="0"/>
              </a:defRPr>
            </a:pPr>
            <a:r>
              <a:rPr lang="en-US" sz="1100" b="0" i="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6 EU Pilot files opened against </a:t>
            </a:r>
            <a:r>
              <a:rPr lang="en-US" sz="1100" b="0" i="0" u="none" strike="noStrike" kern="120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United Kingdom</a:t>
            </a:r>
            <a:endParaRPr lang="en-GB" sz="1100">
              <a:solidFill>
                <a:srgbClr val="002060"/>
              </a:solidFill>
              <a:effectLst/>
              <a:latin typeface="Arial" panose="020B0604020202020204" pitchFamily="34" charset="0"/>
              <a:ea typeface="Verdana" panose="020B0604030504040204" pitchFamily="34" charset="0"/>
              <a:cs typeface="Arial" panose="020B0604020202020204" pitchFamily="34" charset="0"/>
            </a:endParaRPr>
          </a:p>
        </c:rich>
      </c:tx>
      <c:overlay val="0"/>
    </c:title>
    <c:autoTitleDeleted val="0"/>
    <c:plotArea>
      <c:layout/>
      <c:pieChart>
        <c:varyColors val="1"/>
        <c:ser>
          <c:idx val="0"/>
          <c:order val="0"/>
          <c:tx>
            <c:strRef>
              <c:f>Blad1!$B$1</c:f>
              <c:strCache>
                <c:ptCount val="1"/>
                <c:pt idx="0">
                  <c:v>[Number of new EU Pilot files ] EU Pilot files opened against [Member State]</c:v>
                </c:pt>
              </c:strCache>
            </c:strRef>
          </c:tx>
          <c:spPr>
            <a:scene3d>
              <a:camera prst="orthographicFront"/>
              <a:lightRig rig="threePt" dir="t"/>
            </a:scene3d>
            <a:sp3d>
              <a:bevelT w="63500" h="25400"/>
            </a:sp3d>
          </c:spPr>
          <c:dPt>
            <c:idx val="0"/>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44F7-44BD-93CB-B180A08EEA70}"/>
              </c:ext>
            </c:extLst>
          </c:dPt>
          <c:dPt>
            <c:idx val="1"/>
            <c:bubble3D val="0"/>
            <c:spPr>
              <a:solidFill>
                <a:srgbClr val="37ACDE"/>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44F7-44BD-93CB-B180A08EEA70}"/>
              </c:ext>
            </c:extLst>
          </c:dPt>
          <c:dPt>
            <c:idx val="2"/>
            <c:bubble3D val="0"/>
            <c:spPr>
              <a:solidFill>
                <a:srgbClr val="E7511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44F7-44BD-93CB-B180A08EEA70}"/>
              </c:ext>
            </c:extLst>
          </c:dPt>
          <c:dPt>
            <c:idx val="3"/>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44F7-44BD-93CB-B180A08EEA70}"/>
              </c:ext>
            </c:extLst>
          </c:dPt>
          <c:dPt>
            <c:idx val="4"/>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44F7-44BD-93CB-B180A08EEA70}"/>
              </c:ext>
            </c:extLst>
          </c:dPt>
          <c:dLbls>
            <c:dLbl>
              <c:idx val="0"/>
              <c:layout>
                <c:manualLayout>
                  <c:x val="7.4149993545888734E-2"/>
                  <c:y val="7.635194981432275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44F7-44BD-93CB-B180A08EEA70}"/>
                </c:ext>
              </c:extLst>
            </c:dLbl>
            <c:dLbl>
              <c:idx val="1"/>
              <c:layout>
                <c:manualLayout>
                  <c:x val="3.8282345854309195E-2"/>
                  <c:y val="-0.15626914669722011"/>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44F7-44BD-93CB-B180A08EEA70}"/>
                </c:ext>
              </c:extLst>
            </c:dLbl>
            <c:dLbl>
              <c:idx val="2"/>
              <c:layout>
                <c:manualLayout>
                  <c:x val="-4.1427250145625656E-2"/>
                  <c:y val="-1.9697615077867971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44F7-44BD-93CB-B180A08EEA70}"/>
                </c:ext>
              </c:extLst>
            </c:dLbl>
            <c:dLbl>
              <c:idx val="3"/>
              <c:layout>
                <c:manualLayout>
                  <c:x val="2.7567674730313882E-3"/>
                  <c:y val="-5.6584362139917695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44F7-44BD-93CB-B180A08EEA70}"/>
                </c:ext>
              </c:extLst>
            </c:dLbl>
            <c:dLbl>
              <c:idx val="4"/>
              <c:layout>
                <c:manualLayout>
                  <c:x val="-2.1929824561403508E-2"/>
                  <c:y val="-7.621951219512195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4F7-44BD-93CB-B180A08EEA70}"/>
                </c:ext>
              </c:extLst>
            </c:dLbl>
            <c:spPr>
              <a:noFill/>
              <a:ln w="25390">
                <a:noFill/>
              </a:ln>
            </c:spPr>
            <c:txPr>
              <a:bodyPr/>
              <a:lstStyle/>
              <a:p>
                <a:pPr>
                  <a:defRPr sz="850">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Blad1!$A$3:$A$6</c:f>
              <c:strCache>
                <c:ptCount val="4"/>
                <c:pt idx="0">
                  <c:v>Environment</c:v>
                </c:pt>
                <c:pt idx="1">
                  <c:v>Climate action</c:v>
                </c:pt>
                <c:pt idx="2">
                  <c:v>Energy</c:v>
                </c:pt>
                <c:pt idx="3">
                  <c:v>Taxation and customs</c:v>
                </c:pt>
              </c:strCache>
            </c:strRef>
          </c:cat>
          <c:val>
            <c:numRef>
              <c:f>Blad1!$B$3:$B$6</c:f>
              <c:numCache>
                <c:formatCode>General</c:formatCode>
                <c:ptCount val="4"/>
                <c:pt idx="0">
                  <c:v>2</c:v>
                </c:pt>
                <c:pt idx="1">
                  <c:v>2</c:v>
                </c:pt>
                <c:pt idx="2">
                  <c:v>1</c:v>
                </c:pt>
                <c:pt idx="3">
                  <c:v>1</c:v>
                </c:pt>
              </c:numCache>
            </c:numRef>
          </c:val>
          <c:extLst xmlns:c16r2="http://schemas.microsoft.com/office/drawing/2015/06/chart">
            <c:ext xmlns:c16="http://schemas.microsoft.com/office/drawing/2014/chart" uri="{C3380CC4-5D6E-409C-BE32-E72D297353CC}">
              <c16:uniqueId val="{0000000A-44F7-44BD-93CB-B180A08EEA70}"/>
            </c:ext>
          </c:extLst>
        </c:ser>
        <c:dLbls>
          <c:showLegendKey val="0"/>
          <c:showVal val="0"/>
          <c:showCatName val="0"/>
          <c:showSerName val="0"/>
          <c:showPercent val="0"/>
          <c:showBubbleSize val="0"/>
          <c:showLeaderLines val="0"/>
        </c:dLbls>
        <c:firstSliceAng val="315"/>
      </c:pieChart>
      <c:spPr>
        <a:noFill/>
        <a:ln w="25390">
          <a:noFill/>
        </a:ln>
      </c:spPr>
    </c:plotArea>
    <c:plotVisOnly val="1"/>
    <c:dispBlanksAs val="gap"/>
    <c:showDLblsOverMax val="0"/>
  </c:chart>
  <c:spPr>
    <a:solidFill>
      <a:schemeClr val="bg1"/>
    </a:solidFill>
    <a:ln w="952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Blad1!$B$2</c:f>
              <c:strCache>
                <c:ptCount val="1"/>
                <c:pt idx="0">
                  <c:v>the United Kingdom</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5.5729221347331583E-2"/>
                  <c:y val="6.238538475177152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719A-4DC7-90DD-780F6C027789}"/>
                </c:ext>
              </c:extLst>
            </c:dLbl>
            <c:dLbl>
              <c:idx val="1"/>
              <c:layout>
                <c:manualLayout>
                  <c:x val="-5.548870344695285E-2"/>
                  <c:y val="-6.797668400990512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5956-4DFC-8C2C-378EC6B95095}"/>
                </c:ext>
              </c:extLst>
            </c:dLbl>
            <c:dLbl>
              <c:idx val="2"/>
              <c:layout>
                <c:manualLayout>
                  <c:x val="-4.4618110236220469E-2"/>
                  <c:y val="-8.024911032028468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719A-4DC7-90DD-780F6C027789}"/>
                </c:ext>
              </c:extLst>
            </c:dLbl>
            <c:dLbl>
              <c:idx val="3"/>
              <c:layout>
                <c:manualLayout>
                  <c:x val="-4.8189830837757575E-2"/>
                  <c:y val="-5.990511737262696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719A-4DC7-90DD-780F6C027789}"/>
                </c:ext>
              </c:extLst>
            </c:dLbl>
            <c:dLbl>
              <c:idx val="4"/>
              <c:layout>
                <c:manualLayout>
                  <c:x val="-6.6840332458442689E-2"/>
                  <c:y val="9.112119748733853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719A-4DC7-90DD-780F6C027789}"/>
                </c:ext>
              </c:extLst>
            </c:dLbl>
            <c:spPr>
              <a:noFill/>
              <a:ln w="25357">
                <a:noFill/>
              </a:ln>
            </c:spPr>
            <c:txPr>
              <a:bodyPr/>
              <a:lstStyle/>
              <a:p>
                <a:pPr>
                  <a:defRPr sz="898">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0%</c:formatCode>
                <c:ptCount val="5"/>
                <c:pt idx="0">
                  <c:v>0.82</c:v>
                </c:pt>
                <c:pt idx="1">
                  <c:v>0.76</c:v>
                </c:pt>
                <c:pt idx="2">
                  <c:v>0.81</c:v>
                </c:pt>
                <c:pt idx="3">
                  <c:v>0.79</c:v>
                </c:pt>
                <c:pt idx="4">
                  <c:v>0.73</c:v>
                </c:pt>
              </c:numCache>
            </c:numRef>
          </c:val>
          <c:smooth val="0"/>
          <c:extLst xmlns:c16r2="http://schemas.microsoft.com/office/drawing/2015/06/chart">
            <c:ext xmlns:c16="http://schemas.microsoft.com/office/drawing/2014/chart" uri="{C3380CC4-5D6E-409C-BE32-E72D297353CC}">
              <c16:uniqueId val="{00000004-719A-4DC7-90DD-780F6C027789}"/>
            </c:ext>
          </c:extLst>
        </c:ser>
        <c:ser>
          <c:idx val="1"/>
          <c:order val="1"/>
          <c:tx>
            <c:strRef>
              <c:f>Blad1!$C$2</c:f>
              <c:strCache>
                <c:ptCount val="1"/>
                <c:pt idx="0">
                  <c:v>General rate for all Member States</c:v>
                </c:pt>
              </c:strCache>
            </c:strRef>
          </c:tx>
          <c:spPr>
            <a:ln w="25357">
              <a:solidFill>
                <a:srgbClr val="92D050"/>
              </a:solidFill>
            </a:ln>
          </c:spPr>
          <c:marker>
            <c:symbol val="square"/>
            <c:size val="4"/>
            <c:spPr>
              <a:solidFill>
                <a:srgbClr val="92D050"/>
              </a:solidFill>
              <a:ln>
                <a:solidFill>
                  <a:srgbClr val="92D050"/>
                </a:solidFill>
              </a:ln>
            </c:spPr>
          </c:marker>
          <c:dLbls>
            <c:dLbl>
              <c:idx val="0"/>
              <c:layout>
                <c:manualLayout>
                  <c:x val="-4.7395888013998251E-2"/>
                  <c:y val="5.727272026470394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719A-4DC7-90DD-780F6C027789}"/>
                </c:ext>
              </c:extLst>
            </c:dLbl>
            <c:dLbl>
              <c:idx val="1"/>
              <c:layout>
                <c:manualLayout>
                  <c:x val="-4.4626180448374186E-2"/>
                  <c:y val="5.164343414670339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719A-4DC7-90DD-780F6C027789}"/>
                </c:ext>
              </c:extLst>
            </c:dLbl>
            <c:dLbl>
              <c:idx val="2"/>
              <c:layout>
                <c:manualLayout>
                  <c:x val="-4.1840332458442694E-2"/>
                  <c:y val="8.050550620674200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719A-4DC7-90DD-780F6C027789}"/>
                </c:ext>
              </c:extLst>
            </c:dLbl>
            <c:dLbl>
              <c:idx val="3"/>
              <c:layout>
                <c:manualLayout>
                  <c:x val="-3.906255468066492E-2"/>
                  <c:y val="5.183371549122778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719A-4DC7-90DD-780F6C027789}"/>
                </c:ext>
              </c:extLst>
            </c:dLbl>
            <c:dLbl>
              <c:idx val="4"/>
              <c:layout>
                <c:manualLayout>
                  <c:x val="-2.7951443569553806E-2"/>
                  <c:y val="-7.932646454834155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719A-4DC7-90DD-780F6C027789}"/>
                </c:ext>
              </c:extLst>
            </c:dLbl>
            <c:spPr>
              <a:noFill/>
              <a:ln w="25357">
                <a:noFill/>
              </a:ln>
            </c:spPr>
            <c:txPr>
              <a:bodyPr/>
              <a:lstStyle/>
              <a:p>
                <a:pPr>
                  <a:defRPr sz="898">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2013</c:v>
                </c:pt>
                <c:pt idx="1">
                  <c:v>2014</c:v>
                </c:pt>
                <c:pt idx="2">
                  <c:v>2015</c:v>
                </c:pt>
                <c:pt idx="3">
                  <c:v>2016</c:v>
                </c:pt>
                <c:pt idx="4">
                  <c:v>2017</c:v>
                </c:pt>
              </c:numCache>
            </c:numRef>
          </c:cat>
          <c:val>
            <c:numRef>
              <c:f>Blad1!$C$3:$C$7</c:f>
              <c:numCache>
                <c:formatCode>0%</c:formatCode>
                <c:ptCount val="5"/>
                <c:pt idx="0">
                  <c:v>0.7</c:v>
                </c:pt>
                <c:pt idx="1">
                  <c:v>0.75</c:v>
                </c:pt>
                <c:pt idx="2">
                  <c:v>0.75</c:v>
                </c:pt>
                <c:pt idx="3">
                  <c:v>0.72</c:v>
                </c:pt>
                <c:pt idx="4">
                  <c:v>0.77</c:v>
                </c:pt>
              </c:numCache>
            </c:numRef>
          </c:val>
          <c:smooth val="0"/>
          <c:extLst xmlns:c16r2="http://schemas.microsoft.com/office/drawing/2015/06/chart">
            <c:ext xmlns:c16="http://schemas.microsoft.com/office/drawing/2014/chart" uri="{C3380CC4-5D6E-409C-BE32-E72D297353CC}">
              <c16:uniqueId val="{0000000A-719A-4DC7-90DD-780F6C027789}"/>
            </c:ext>
          </c:extLst>
        </c:ser>
        <c:dLbls>
          <c:showLegendKey val="0"/>
          <c:showVal val="0"/>
          <c:showCatName val="0"/>
          <c:showSerName val="0"/>
          <c:showPercent val="0"/>
          <c:showBubbleSize val="0"/>
        </c:dLbls>
        <c:marker val="1"/>
        <c:smooth val="0"/>
        <c:axId val="335510144"/>
        <c:axId val="335516032"/>
      </c:lineChart>
      <c:catAx>
        <c:axId val="335510144"/>
        <c:scaling>
          <c:orientation val="minMax"/>
        </c:scaling>
        <c:delete val="0"/>
        <c:axPos val="b"/>
        <c:numFmt formatCode="General" sourceLinked="1"/>
        <c:majorTickMark val="none"/>
        <c:minorTickMark val="none"/>
        <c:tickLblPos val="nextTo"/>
        <c:spPr>
          <a:noFill/>
          <a:ln w="12679"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35516032"/>
        <c:crosses val="autoZero"/>
        <c:auto val="1"/>
        <c:lblAlgn val="ctr"/>
        <c:lblOffset val="100"/>
        <c:noMultiLvlLbl val="0"/>
      </c:catAx>
      <c:valAx>
        <c:axId val="335516032"/>
        <c:scaling>
          <c:orientation val="minMax"/>
          <c:min val="0.5"/>
        </c:scaling>
        <c:delete val="1"/>
        <c:axPos val="l"/>
        <c:majorGridlines>
          <c:spPr>
            <a:ln w="9509" cap="flat" cmpd="sng" algn="ctr">
              <a:solidFill>
                <a:schemeClr val="tx1">
                  <a:lumMod val="15000"/>
                  <a:lumOff val="85000"/>
                </a:schemeClr>
              </a:solidFill>
              <a:round/>
            </a:ln>
            <a:effectLst/>
          </c:spPr>
        </c:majorGridlines>
        <c:numFmt formatCode="0%" sourceLinked="1"/>
        <c:majorTickMark val="out"/>
        <c:minorTickMark val="none"/>
        <c:tickLblPos val="nextTo"/>
        <c:crossAx val="335510144"/>
        <c:crosses val="autoZero"/>
        <c:crossBetween val="between"/>
      </c:valAx>
      <c:spPr>
        <a:noFill/>
        <a:ln w="25357">
          <a:noFill/>
        </a:ln>
      </c:spPr>
    </c:plotArea>
    <c:legend>
      <c:legendPos val="b"/>
      <c:overlay val="0"/>
      <c:txPr>
        <a:bodyPr/>
        <a:lstStyle/>
        <a:p>
          <a:pPr>
            <a:defRPr sz="898">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0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Lbls>
            <c:dLbl>
              <c:idx val="1"/>
              <c:layout>
                <c:manualLayout>
                  <c:x val="-5.8738587909069509E-2"/>
                  <c:y val="9.114037469454248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3BD7-4C15-B504-1600543F3C66}"/>
                </c:ext>
              </c:extLst>
            </c:dLbl>
            <c:dLbl>
              <c:idx val="4"/>
              <c:layout>
                <c:manualLayout>
                  <c:x val="-4.2090707964601771E-2"/>
                  <c:y val="6.017241379310344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3BD7-4C15-B504-1600543F3C66}"/>
                </c:ext>
              </c:extLst>
            </c:dLbl>
            <c:spPr>
              <a:noFill/>
              <a:ln w="25395">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Blad1!$A$4:$A$8</c:f>
              <c:numCache>
                <c:formatCode>General</c:formatCode>
                <c:ptCount val="5"/>
                <c:pt idx="0">
                  <c:v>2013</c:v>
                </c:pt>
                <c:pt idx="1">
                  <c:v>2014</c:v>
                </c:pt>
                <c:pt idx="2">
                  <c:v>2015</c:v>
                </c:pt>
                <c:pt idx="3">
                  <c:v>2016</c:v>
                </c:pt>
                <c:pt idx="4">
                  <c:v>2017</c:v>
                </c:pt>
              </c:numCache>
            </c:numRef>
          </c:cat>
          <c:val>
            <c:numRef>
              <c:f>Blad1!$B$4:$B$8</c:f>
              <c:numCache>
                <c:formatCode>General</c:formatCode>
                <c:ptCount val="5"/>
                <c:pt idx="0">
                  <c:v>53</c:v>
                </c:pt>
                <c:pt idx="1">
                  <c:v>54</c:v>
                </c:pt>
                <c:pt idx="2">
                  <c:v>48</c:v>
                </c:pt>
                <c:pt idx="3">
                  <c:v>55</c:v>
                </c:pt>
                <c:pt idx="4">
                  <c:v>49</c:v>
                </c:pt>
              </c:numCache>
            </c:numRef>
          </c:val>
          <c:smooth val="0"/>
          <c:extLst xmlns:c16r2="http://schemas.microsoft.com/office/drawing/2015/06/chart">
            <c:ext xmlns:c16="http://schemas.microsoft.com/office/drawing/2014/chart" uri="{C3380CC4-5D6E-409C-BE32-E72D297353CC}">
              <c16:uniqueId val="{00000002-3BD7-4C15-B504-1600543F3C66}"/>
            </c:ext>
          </c:extLst>
        </c:ser>
        <c:dLbls>
          <c:showLegendKey val="0"/>
          <c:showVal val="0"/>
          <c:showCatName val="0"/>
          <c:showSerName val="0"/>
          <c:showPercent val="0"/>
          <c:showBubbleSize val="0"/>
        </c:dLbls>
        <c:marker val="1"/>
        <c:smooth val="0"/>
        <c:axId val="335619968"/>
        <c:axId val="335621504"/>
      </c:lineChart>
      <c:catAx>
        <c:axId val="335619968"/>
        <c:scaling>
          <c:orientation val="minMax"/>
        </c:scaling>
        <c:delete val="0"/>
        <c:axPos val="b"/>
        <c:numFmt formatCode="General" sourceLinked="1"/>
        <c:majorTickMark val="none"/>
        <c:minorTickMark val="none"/>
        <c:tickLblPos val="nextTo"/>
        <c:spPr>
          <a:noFill/>
          <a:ln w="12697"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35621504"/>
        <c:crosses val="autoZero"/>
        <c:auto val="1"/>
        <c:lblAlgn val="ctr"/>
        <c:lblOffset val="100"/>
        <c:noMultiLvlLbl val="0"/>
      </c:catAx>
      <c:valAx>
        <c:axId val="335621504"/>
        <c:scaling>
          <c:orientation val="minMax"/>
          <c:min val="45"/>
        </c:scaling>
        <c:delete val="1"/>
        <c:axPos val="l"/>
        <c:majorGridlines>
          <c:spPr>
            <a:ln w="9523" cap="flat" cmpd="sng" algn="ctr">
              <a:solidFill>
                <a:schemeClr val="tx1">
                  <a:lumMod val="15000"/>
                  <a:lumOff val="85000"/>
                </a:schemeClr>
              </a:solidFill>
              <a:round/>
            </a:ln>
            <a:effectLst/>
          </c:spPr>
        </c:majorGridlines>
        <c:numFmt formatCode="General" sourceLinked="1"/>
        <c:majorTickMark val="out"/>
        <c:minorTickMark val="none"/>
        <c:tickLblPos val="nextTo"/>
        <c:crossAx val="335619968"/>
        <c:crosses val="autoZero"/>
        <c:crossBetween val="between"/>
      </c:valAx>
      <c:spPr>
        <a:noFill/>
        <a:ln w="25395">
          <a:noFill/>
        </a:ln>
      </c:spPr>
    </c:plotArea>
    <c:plotVisOnly val="1"/>
    <c:dispBlanksAs val="gap"/>
    <c:showDLblsOverMax val="0"/>
  </c:chart>
  <c:spPr>
    <a:solidFill>
      <a:schemeClr val="bg1"/>
    </a:solidFill>
    <a:ln w="9523"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spPr>
              <a:noFill/>
              <a:ln w="25365">
                <a:noFill/>
              </a:ln>
            </c:spPr>
            <c:txPr>
              <a:bodyPr/>
              <a:lstStyle/>
              <a:p>
                <a:pPr>
                  <a:defRPr sz="899">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General</c:formatCode>
                <c:ptCount val="5"/>
                <c:pt idx="0">
                  <c:v>47</c:v>
                </c:pt>
                <c:pt idx="1">
                  <c:v>38</c:v>
                </c:pt>
                <c:pt idx="2">
                  <c:v>38</c:v>
                </c:pt>
                <c:pt idx="3">
                  <c:v>26</c:v>
                </c:pt>
                <c:pt idx="4">
                  <c:v>7</c:v>
                </c:pt>
              </c:numCache>
            </c:numRef>
          </c:val>
          <c:smooth val="0"/>
          <c:extLst xmlns:c16r2="http://schemas.microsoft.com/office/drawing/2015/06/chart">
            <c:ext xmlns:c16="http://schemas.microsoft.com/office/drawing/2014/chart" uri="{C3380CC4-5D6E-409C-BE32-E72D297353CC}">
              <c16:uniqueId val="{00000000-9DC1-4EEB-859C-7243AC53A0AD}"/>
            </c:ext>
          </c:extLst>
        </c:ser>
        <c:dLbls>
          <c:showLegendKey val="0"/>
          <c:showVal val="0"/>
          <c:showCatName val="0"/>
          <c:showSerName val="0"/>
          <c:showPercent val="0"/>
          <c:showBubbleSize val="0"/>
        </c:dLbls>
        <c:marker val="1"/>
        <c:smooth val="0"/>
        <c:axId val="204749824"/>
        <c:axId val="204755712"/>
      </c:lineChart>
      <c:catAx>
        <c:axId val="204749824"/>
        <c:scaling>
          <c:orientation val="minMax"/>
        </c:scaling>
        <c:delete val="0"/>
        <c:axPos val="b"/>
        <c:numFmt formatCode="General" sourceLinked="1"/>
        <c:majorTickMark val="none"/>
        <c:minorTickMark val="none"/>
        <c:tickLblPos val="nextTo"/>
        <c:spPr>
          <a:noFill/>
          <a:ln w="12682"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204755712"/>
        <c:crosses val="autoZero"/>
        <c:auto val="1"/>
        <c:lblAlgn val="ctr"/>
        <c:lblOffset val="100"/>
        <c:noMultiLvlLbl val="0"/>
      </c:catAx>
      <c:valAx>
        <c:axId val="204755712"/>
        <c:scaling>
          <c:orientation val="minMax"/>
        </c:scaling>
        <c:delete val="1"/>
        <c:axPos val="l"/>
        <c:majorGridlines>
          <c:spPr>
            <a:ln w="9512" cap="flat" cmpd="sng" algn="ctr">
              <a:solidFill>
                <a:schemeClr val="tx1">
                  <a:lumMod val="15000"/>
                  <a:lumOff val="85000"/>
                </a:schemeClr>
              </a:solidFill>
              <a:round/>
            </a:ln>
            <a:effectLst/>
          </c:spPr>
        </c:majorGridlines>
        <c:numFmt formatCode="General" sourceLinked="1"/>
        <c:majorTickMark val="out"/>
        <c:minorTickMark val="none"/>
        <c:tickLblPos val="nextTo"/>
        <c:crossAx val="204749824"/>
        <c:crosses val="autoZero"/>
        <c:crossBetween val="between"/>
      </c:valAx>
      <c:spPr>
        <a:noFill/>
        <a:ln w="25365">
          <a:noFill/>
        </a:ln>
      </c:spPr>
    </c:plotArea>
    <c:plotVisOnly val="1"/>
    <c:dispBlanksAs val="gap"/>
    <c:showDLblsOverMax val="0"/>
  </c:chart>
  <c:spPr>
    <a:solidFill>
      <a:schemeClr val="bg1"/>
    </a:solidFill>
    <a:ln w="9512"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7"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nl-BE" sz="1097" b="0" baseline="0">
                <a:solidFill>
                  <a:srgbClr val="002060"/>
                </a:solidFill>
                <a:latin typeface="Arial" panose="020B0604020202020204" pitchFamily="34" charset="0"/>
                <a:ea typeface="Verdana" panose="020B0604030504040204" pitchFamily="34" charset="0"/>
                <a:cs typeface="Arial" panose="020B0604020202020204" pitchFamily="34" charset="0"/>
              </a:rPr>
              <a:t>32 </a:t>
            </a:r>
            <a:r>
              <a:rPr lang="en-US" sz="1097" b="0" i="0" u="none" strike="noStrike" baseline="0">
                <a:effectLst/>
              </a:rPr>
              <a:t>new infringement cases</a:t>
            </a:r>
            <a:r>
              <a:rPr lang="nl-BE" sz="1097" b="0">
                <a:solidFill>
                  <a:srgbClr val="002060"/>
                </a:solidFill>
                <a:latin typeface="Arial" panose="020B0604020202020204" pitchFamily="34" charset="0"/>
                <a:ea typeface="Verdana" panose="020B0604030504040204" pitchFamily="34" charset="0"/>
                <a:cs typeface="Arial" panose="020B0604020202020204" pitchFamily="34" charset="0"/>
              </a:rPr>
              <a:t> against the </a:t>
            </a:r>
            <a:r>
              <a:rPr lang="en-GB" sz="1097"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United Kingdom</a:t>
            </a:r>
            <a:endParaRPr lang="nl-BE"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w="25329">
          <a:noFill/>
        </a:ln>
      </c:spPr>
    </c:title>
    <c:autoTitleDeleted val="0"/>
    <c:plotArea>
      <c:layout>
        <c:manualLayout>
          <c:layoutTarget val="inner"/>
          <c:xMode val="edge"/>
          <c:yMode val="edge"/>
          <c:x val="0.31614720034995625"/>
          <c:y val="0.26226409198850142"/>
          <c:w val="0.3723354111986002"/>
          <c:h val="0.6382892763404574"/>
        </c:manualLayout>
      </c:layout>
      <c:pieChart>
        <c:varyColors val="1"/>
        <c:ser>
          <c:idx val="0"/>
          <c:order val="0"/>
          <c:spPr>
            <a:scene3d>
              <a:camera prst="orthographicFront"/>
              <a:lightRig rig="threePt" dir="t"/>
            </a:scene3d>
            <a:sp3d>
              <a:bevelT w="63500" h="25400"/>
            </a:sp3d>
          </c:spPr>
          <c:dPt>
            <c:idx val="0"/>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833E-4554-88A4-BFED5F750CC2}"/>
              </c:ext>
            </c:extLst>
          </c:dPt>
          <c:dPt>
            <c:idx val="1"/>
            <c:bubble3D val="0"/>
            <c:spPr>
              <a:solidFill>
                <a:srgbClr val="FF7DF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833E-4554-88A4-BFED5F750CC2}"/>
              </c:ext>
            </c:extLst>
          </c:dPt>
          <c:dPt>
            <c:idx val="2"/>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833E-4554-88A4-BFED5F750CC2}"/>
              </c:ext>
            </c:extLst>
          </c:dPt>
          <c:dPt>
            <c:idx val="3"/>
            <c:bubble3D val="0"/>
            <c:spPr>
              <a:solidFill>
                <a:srgbClr val="00A676"/>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833E-4554-88A4-BFED5F750CC2}"/>
              </c:ext>
            </c:extLst>
          </c:dPt>
          <c:dPt>
            <c:idx val="4"/>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833E-4554-88A4-BFED5F750CC2}"/>
              </c:ext>
            </c:extLst>
          </c:dPt>
          <c:dPt>
            <c:idx val="5"/>
            <c:bubble3D val="0"/>
            <c:spPr>
              <a:solidFill>
                <a:srgbClr val="FFD617"/>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833E-4554-88A4-BFED5F750CC2}"/>
              </c:ext>
            </c:extLst>
          </c:dPt>
          <c:dLbls>
            <c:dLbl>
              <c:idx val="0"/>
              <c:layout>
                <c:manualLayout>
                  <c:x val="-2.2210305107210448E-2"/>
                  <c:y val="-0.14714802004889577"/>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833E-4554-88A4-BFED5F750CC2}"/>
                </c:ext>
              </c:extLst>
            </c:dLbl>
            <c:dLbl>
              <c:idx val="1"/>
              <c:layout>
                <c:manualLayout>
                  <c:x val="9.6525319734940412E-3"/>
                  <c:y val="-0.1288757242008498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833E-4554-88A4-BFED5F750CC2}"/>
                </c:ext>
              </c:extLst>
            </c:dLbl>
            <c:dLbl>
              <c:idx val="2"/>
              <c:layout>
                <c:manualLayout>
                  <c:x val="9.1631569309650246E-2"/>
                  <c:y val="0.1053351975862830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833E-4554-88A4-BFED5F750CC2}"/>
                </c:ext>
              </c:extLst>
            </c:dLbl>
            <c:dLbl>
              <c:idx val="3"/>
              <c:layout>
                <c:manualLayout>
                  <c:x val="-8.2975819882979748E-3"/>
                  <c:y val="-0.12373978953565384"/>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833E-4554-88A4-BFED5F750CC2}"/>
                </c:ext>
              </c:extLst>
            </c:dLbl>
            <c:dLbl>
              <c:idx val="4"/>
              <c:layout>
                <c:manualLayout>
                  <c:x val="0.11638261787044062"/>
                  <c:y val="-9.9876534124823191E-4"/>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833E-4554-88A4-BFED5F750CC2}"/>
                </c:ext>
              </c:extLst>
            </c:dLbl>
            <c:dLbl>
              <c:idx val="5"/>
              <c:layout>
                <c:manualLayout>
                  <c:x val="4.1507747578064372E-2"/>
                  <c:y val="3.364772160489285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833E-4554-88A4-BFED5F750CC2}"/>
                </c:ext>
              </c:extLst>
            </c:dLbl>
            <c:dLbl>
              <c:idx val="6"/>
              <c:layout>
                <c:manualLayout>
                  <c:x val="-3.5991140642303431E-2"/>
                  <c:y val="8.3333333333333329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833E-4554-88A4-BFED5F750CC2}"/>
                </c:ext>
              </c:extLst>
            </c:dLbl>
            <c:spPr>
              <a:noFill/>
              <a:ln w="25329">
                <a:noFill/>
              </a:ln>
            </c:spPr>
            <c:txPr>
              <a:bodyPr rot="0" spcFirstLastPara="1" vertOverflow="ellipsis" vert="horz" wrap="square" lIns="38100" tIns="19050" rIns="38100" bIns="19050" anchor="ctr" anchorCtr="1">
                <a:spAutoFit/>
              </a:bodyPr>
              <a:lstStyle/>
              <a:p>
                <a:pPr>
                  <a:defRPr sz="848"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Blad1!$A$4:$A$9</c:f>
              <c:strCache>
                <c:ptCount val="6"/>
                <c:pt idx="0">
                  <c:v>Financial stability, financial services and Capital Markets Union</c:v>
                </c:pt>
                <c:pt idx="1">
                  <c:v>Health and food Safety</c:v>
                </c:pt>
                <c:pt idx="2">
                  <c:v>Mobility and transport</c:v>
                </c:pt>
                <c:pt idx="3">
                  <c:v>Environment</c:v>
                </c:pt>
                <c:pt idx="4">
                  <c:v>Others</c:v>
                </c:pt>
                <c:pt idx="5">
                  <c:v>Employment</c:v>
                </c:pt>
              </c:strCache>
            </c:strRef>
          </c:cat>
          <c:val>
            <c:numRef>
              <c:f>Blad1!$B$4:$B$9</c:f>
              <c:numCache>
                <c:formatCode>General</c:formatCode>
                <c:ptCount val="6"/>
                <c:pt idx="0">
                  <c:v>2</c:v>
                </c:pt>
                <c:pt idx="1">
                  <c:v>6</c:v>
                </c:pt>
                <c:pt idx="2">
                  <c:v>9</c:v>
                </c:pt>
                <c:pt idx="3">
                  <c:v>8</c:v>
                </c:pt>
                <c:pt idx="4">
                  <c:v>5</c:v>
                </c:pt>
                <c:pt idx="5">
                  <c:v>2</c:v>
                </c:pt>
              </c:numCache>
            </c:numRef>
          </c:val>
          <c:extLst xmlns:c16r2="http://schemas.microsoft.com/office/drawing/2015/06/chart">
            <c:ext xmlns:c16="http://schemas.microsoft.com/office/drawing/2014/chart" uri="{C3380CC4-5D6E-409C-BE32-E72D297353CC}">
              <c16:uniqueId val="{0000000D-833E-4554-88A4-BFED5F750CC2}"/>
            </c:ext>
          </c:extLst>
        </c:ser>
        <c:dLbls>
          <c:showLegendKey val="0"/>
          <c:showVal val="0"/>
          <c:showCatName val="0"/>
          <c:showSerName val="0"/>
          <c:showPercent val="0"/>
          <c:showBubbleSize val="0"/>
          <c:showLeaderLines val="0"/>
        </c:dLbls>
        <c:firstSliceAng val="228"/>
      </c:pieChart>
      <c:spPr>
        <a:noFill/>
        <a:ln w="25329">
          <a:noFill/>
        </a:ln>
      </c:spPr>
    </c:plotArea>
    <c:plotVisOnly val="1"/>
    <c:dispBlanksAs val="gap"/>
    <c:showDLblsOverMax val="0"/>
  </c:chart>
  <c:spPr>
    <a:solidFill>
      <a:schemeClr val="bg1"/>
    </a:solidFill>
    <a:ln w="9498"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4.2127292228006381E-2"/>
                  <c:y val="8.464096711038156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60CE-498F-9BA6-703CE957CAA4}"/>
                </c:ext>
              </c:extLst>
            </c:dLbl>
            <c:dLbl>
              <c:idx val="3"/>
              <c:layout>
                <c:manualLayout>
                  <c:x val="-4.1997792494481233E-2"/>
                  <c:y val="-7.297734627831715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A559-4D0D-AFFF-E94CC3EE0DCD}"/>
                </c:ext>
              </c:extLst>
            </c:dLbl>
            <c:spPr>
              <a:noFill/>
              <a:ln w="25401">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Blad1!$A$2:$A$6</c:f>
              <c:numCache>
                <c:formatCode>General</c:formatCode>
                <c:ptCount val="5"/>
                <c:pt idx="0">
                  <c:v>2013</c:v>
                </c:pt>
                <c:pt idx="1">
                  <c:v>2014</c:v>
                </c:pt>
                <c:pt idx="2">
                  <c:v>2015</c:v>
                </c:pt>
                <c:pt idx="3">
                  <c:v>2016</c:v>
                </c:pt>
                <c:pt idx="4">
                  <c:v>2017</c:v>
                </c:pt>
              </c:numCache>
            </c:numRef>
          </c:cat>
          <c:val>
            <c:numRef>
              <c:f>Blad1!$B$2:$B$6</c:f>
              <c:numCache>
                <c:formatCode>General</c:formatCode>
                <c:ptCount val="5"/>
                <c:pt idx="0">
                  <c:v>18</c:v>
                </c:pt>
                <c:pt idx="1">
                  <c:v>16</c:v>
                </c:pt>
                <c:pt idx="2">
                  <c:v>14</c:v>
                </c:pt>
                <c:pt idx="3">
                  <c:v>25</c:v>
                </c:pt>
                <c:pt idx="4">
                  <c:v>21</c:v>
                </c:pt>
              </c:numCache>
            </c:numRef>
          </c:val>
          <c:smooth val="0"/>
          <c:extLst xmlns:c16r2="http://schemas.microsoft.com/office/drawing/2015/06/chart">
            <c:ext xmlns:c16="http://schemas.microsoft.com/office/drawing/2014/chart" uri="{C3380CC4-5D6E-409C-BE32-E72D297353CC}">
              <c16:uniqueId val="{00000001-60CE-498F-9BA6-703CE957CAA4}"/>
            </c:ext>
          </c:extLst>
        </c:ser>
        <c:dLbls>
          <c:showLegendKey val="0"/>
          <c:showVal val="0"/>
          <c:showCatName val="0"/>
          <c:showSerName val="0"/>
          <c:showPercent val="0"/>
          <c:showBubbleSize val="0"/>
        </c:dLbls>
        <c:marker val="1"/>
        <c:smooth val="0"/>
        <c:axId val="335797248"/>
        <c:axId val="335819520"/>
      </c:lineChart>
      <c:catAx>
        <c:axId val="3357972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35819520"/>
        <c:crosses val="autoZero"/>
        <c:auto val="1"/>
        <c:lblAlgn val="ctr"/>
        <c:lblOffset val="100"/>
        <c:noMultiLvlLbl val="0"/>
      </c:catAx>
      <c:valAx>
        <c:axId val="335819520"/>
        <c:scaling>
          <c:orientation val="minMax"/>
          <c:min val="10"/>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335797248"/>
        <c:crosses val="autoZero"/>
        <c:crossBetween val="between"/>
      </c:valAx>
      <c:spPr>
        <a:noFill/>
        <a:ln w="25401">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4.766439078836076E-2"/>
                  <c:y val="6.83543221592414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35B6-4CE9-A8E2-C97B1CEFCC54}"/>
                </c:ext>
              </c:extLst>
            </c:dLbl>
            <c:spPr>
              <a:noFill/>
              <a:ln w="25401">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Blad1!$A$2:$A$6</c:f>
              <c:numCache>
                <c:formatCode>General</c:formatCode>
                <c:ptCount val="5"/>
                <c:pt idx="0">
                  <c:v>2013</c:v>
                </c:pt>
                <c:pt idx="1">
                  <c:v>2014</c:v>
                </c:pt>
                <c:pt idx="2">
                  <c:v>2015</c:v>
                </c:pt>
                <c:pt idx="3">
                  <c:v>2016</c:v>
                </c:pt>
                <c:pt idx="4">
                  <c:v>2017</c:v>
                </c:pt>
              </c:numCache>
            </c:numRef>
          </c:cat>
          <c:val>
            <c:numRef>
              <c:f>Blad1!$B$2:$B$6</c:f>
              <c:numCache>
                <c:formatCode>General</c:formatCode>
                <c:ptCount val="5"/>
                <c:pt idx="0">
                  <c:v>20</c:v>
                </c:pt>
                <c:pt idx="1">
                  <c:v>20</c:v>
                </c:pt>
                <c:pt idx="2">
                  <c:v>16</c:v>
                </c:pt>
                <c:pt idx="3">
                  <c:v>25</c:v>
                </c:pt>
                <c:pt idx="4">
                  <c:v>29</c:v>
                </c:pt>
              </c:numCache>
            </c:numRef>
          </c:val>
          <c:smooth val="0"/>
          <c:extLst xmlns:c16r2="http://schemas.microsoft.com/office/drawing/2015/06/chart">
            <c:ext xmlns:c16="http://schemas.microsoft.com/office/drawing/2014/chart" uri="{C3380CC4-5D6E-409C-BE32-E72D297353CC}">
              <c16:uniqueId val="{00000001-35B6-4CE9-A8E2-C97B1CEFCC54}"/>
            </c:ext>
          </c:extLst>
        </c:ser>
        <c:dLbls>
          <c:showLegendKey val="0"/>
          <c:showVal val="0"/>
          <c:showCatName val="0"/>
          <c:showSerName val="0"/>
          <c:showPercent val="0"/>
          <c:showBubbleSize val="0"/>
        </c:dLbls>
        <c:marker val="1"/>
        <c:smooth val="0"/>
        <c:axId val="335947264"/>
        <c:axId val="335948800"/>
      </c:lineChart>
      <c:catAx>
        <c:axId val="33594726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35948800"/>
        <c:crosses val="autoZero"/>
        <c:auto val="1"/>
        <c:lblAlgn val="ctr"/>
        <c:lblOffset val="100"/>
        <c:noMultiLvlLbl val="0"/>
      </c:catAx>
      <c:valAx>
        <c:axId val="335948800"/>
        <c:scaling>
          <c:orientation val="minMax"/>
          <c:min val="10"/>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335947264"/>
        <c:crosses val="autoZero"/>
        <c:crossBetween val="between"/>
      </c:valAx>
      <c:spPr>
        <a:noFill/>
        <a:ln w="25401">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nl-BE" sz="1100" b="0" baseline="0">
                <a:solidFill>
                  <a:srgbClr val="002060"/>
                </a:solidFill>
                <a:latin typeface="Arial" panose="020B0604020202020204" pitchFamily="34" charset="0"/>
                <a:ea typeface="Verdana" panose="020B0604030504040204" pitchFamily="34" charset="0"/>
                <a:cs typeface="Arial" panose="020B0604020202020204" pitchFamily="34" charset="0"/>
              </a:rPr>
              <a:t>29 new </a:t>
            </a:r>
            <a:r>
              <a:rPr lang="nl-BE" sz="1100" b="0">
                <a:solidFill>
                  <a:srgbClr val="002060"/>
                </a:solidFill>
                <a:latin typeface="Arial" panose="020B0604020202020204" pitchFamily="34" charset="0"/>
                <a:ea typeface="Verdana" panose="020B0604030504040204" pitchFamily="34" charset="0"/>
                <a:cs typeface="Arial" panose="020B0604020202020204" pitchFamily="34" charset="0"/>
              </a:rPr>
              <a:t>late transposition infringement cases against the </a:t>
            </a:r>
            <a:r>
              <a:rPr lang="en-GB"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United Kingdom</a:t>
            </a:r>
            <a:endParaRPr lang="nl-BE"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a:noFill/>
        </a:ln>
        <a:effectLst/>
      </c:spPr>
    </c:title>
    <c:autoTitleDeleted val="0"/>
    <c:plotArea>
      <c:layout>
        <c:manualLayout>
          <c:layoutTarget val="inner"/>
          <c:xMode val="edge"/>
          <c:yMode val="edge"/>
          <c:x val="0.31614720034995625"/>
          <c:y val="0.26226409198850142"/>
          <c:w val="0.3723354111986002"/>
          <c:h val="0.6382892763404574"/>
        </c:manualLayout>
      </c:layout>
      <c:pieChart>
        <c:varyColors val="1"/>
        <c:ser>
          <c:idx val="0"/>
          <c:order val="0"/>
          <c:spPr>
            <a:scene3d>
              <a:camera prst="orthographicFront"/>
              <a:lightRig rig="threePt" dir="t"/>
            </a:scene3d>
            <a:sp3d>
              <a:bevelT w="63500" h="25400"/>
            </a:sp3d>
          </c:spPr>
          <c:dPt>
            <c:idx val="0"/>
            <c:bubble3D val="0"/>
            <c:spPr>
              <a:solidFill>
                <a:srgbClr val="FF7DF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CC56-4640-9DD1-F138BFBAB2A1}"/>
              </c:ext>
            </c:extLst>
          </c:dPt>
          <c:dPt>
            <c:idx val="1"/>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CC56-4640-9DD1-F138BFBAB2A1}"/>
              </c:ext>
            </c:extLst>
          </c:dPt>
          <c:dPt>
            <c:idx val="2"/>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CC56-4640-9DD1-F138BFBAB2A1}"/>
              </c:ext>
            </c:extLst>
          </c:dPt>
          <c:dPt>
            <c:idx val="3"/>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CC56-4640-9DD1-F138BFBAB2A1}"/>
              </c:ext>
            </c:extLst>
          </c:dPt>
          <c:dPt>
            <c:idx val="4"/>
            <c:bubble3D val="0"/>
            <c:spPr>
              <a:solidFill>
                <a:srgbClr val="FFD617"/>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CC56-4640-9DD1-F138BFBAB2A1}"/>
              </c:ext>
            </c:extLst>
          </c:dPt>
          <c:dPt>
            <c:idx val="5"/>
            <c:bubble3D val="0"/>
            <c:spPr>
              <a:solidFill>
                <a:srgbClr val="A2000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CC56-4640-9DD1-F138BFBAB2A1}"/>
              </c:ext>
            </c:extLst>
          </c:dPt>
          <c:dPt>
            <c:idx val="6"/>
            <c:bubble3D val="0"/>
            <c:spPr>
              <a:solidFill>
                <a:srgbClr val="00A676"/>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D-CC56-4640-9DD1-F138BFBAB2A1}"/>
              </c:ext>
            </c:extLst>
          </c:dPt>
          <c:dLbls>
            <c:dLbl>
              <c:idx val="0"/>
              <c:layout>
                <c:manualLayout>
                  <c:x val="-3.051986522416357E-2"/>
                  <c:y val="1.9162514156963073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CC56-4640-9DD1-F138BFBAB2A1}"/>
                </c:ext>
              </c:extLst>
            </c:dLbl>
            <c:dLbl>
              <c:idx val="1"/>
              <c:layout>
                <c:manualLayout>
                  <c:x val="7.6090192917424304E-2"/>
                  <c:y val="0.1595078343506666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CC56-4640-9DD1-F138BFBAB2A1}"/>
                </c:ext>
              </c:extLst>
            </c:dLbl>
            <c:dLbl>
              <c:idx val="2"/>
              <c:layout>
                <c:manualLayout>
                  <c:x val="5.8215698010752942E-3"/>
                  <c:y val="9.0744188514299776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CC56-4640-9DD1-F138BFBAB2A1}"/>
                </c:ext>
              </c:extLst>
            </c:dLbl>
            <c:dLbl>
              <c:idx val="3"/>
              <c:layout>
                <c:manualLayout>
                  <c:x val="-0.1134872615560602"/>
                  <c:y val="-8.563511557148254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CC56-4640-9DD1-F138BFBAB2A1}"/>
                </c:ext>
              </c:extLst>
            </c:dLbl>
            <c:dLbl>
              <c:idx val="4"/>
              <c:layout>
                <c:manualLayout>
                  <c:x val="0.14129966458509449"/>
                  <c:y val="-9.9892524742656026E-4"/>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C56-4640-9DD1-F138BFBAB2A1}"/>
                </c:ext>
              </c:extLst>
            </c:dLbl>
            <c:dLbl>
              <c:idx val="5"/>
              <c:layout>
                <c:manualLayout>
                  <c:x val="-2.7705816585312643E-2"/>
                  <c:y val="3.3647777281574399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CC56-4640-9DD1-F138BFBAB2A1}"/>
                </c:ext>
              </c:extLst>
            </c:dLbl>
            <c:dLbl>
              <c:idx val="6"/>
              <c:layout>
                <c:manualLayout>
                  <c:x val="-3.5991140642303431E-2"/>
                  <c:y val="8.3333333333333329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CC56-4640-9DD1-F138BFBAB2A1}"/>
                </c:ext>
              </c:extLst>
            </c:dLbl>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Blad1!$A$4:$A$8</c:f>
              <c:strCache>
                <c:ptCount val="4"/>
                <c:pt idx="0">
                  <c:v>Health and Food Safety</c:v>
                </c:pt>
                <c:pt idx="1">
                  <c:v>Mobility and transport</c:v>
                </c:pt>
                <c:pt idx="2">
                  <c:v>Environment</c:v>
                </c:pt>
                <c:pt idx="3">
                  <c:v>Others</c:v>
                </c:pt>
              </c:strCache>
            </c:strRef>
          </c:cat>
          <c:val>
            <c:numRef>
              <c:f>Blad1!$B$4:$B$8</c:f>
              <c:numCache>
                <c:formatCode>General</c:formatCode>
                <c:ptCount val="5"/>
                <c:pt idx="0">
                  <c:v>6</c:v>
                </c:pt>
                <c:pt idx="1">
                  <c:v>7</c:v>
                </c:pt>
                <c:pt idx="2">
                  <c:v>7</c:v>
                </c:pt>
                <c:pt idx="3">
                  <c:v>9</c:v>
                </c:pt>
              </c:numCache>
            </c:numRef>
          </c:val>
          <c:extLst xmlns:c16r2="http://schemas.microsoft.com/office/drawing/2015/06/chart">
            <c:ext xmlns:c16="http://schemas.microsoft.com/office/drawing/2014/chart" uri="{C3380CC4-5D6E-409C-BE32-E72D297353CC}">
              <c16:uniqueId val="{0000000E-CC56-4640-9DD1-F138BFBAB2A1}"/>
            </c:ext>
          </c:extLst>
        </c:ser>
        <c:dLbls>
          <c:dLblPos val="inEnd"/>
          <c:showLegendKey val="0"/>
          <c:showVal val="0"/>
          <c:showCatName val="0"/>
          <c:showSerName val="0"/>
          <c:showPercent val="1"/>
          <c:showBubbleSize val="0"/>
          <c:showLeaderLines val="0"/>
        </c:dLbls>
        <c:firstSliceAng val="268"/>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spPr>
              <a:noFill/>
              <a:ln w="25365">
                <a:noFill/>
              </a:ln>
            </c:spPr>
            <c:txPr>
              <a:bodyPr/>
              <a:lstStyle/>
              <a:p>
                <a:pPr>
                  <a:defRPr sz="899">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General</c:formatCode>
                <c:ptCount val="5"/>
                <c:pt idx="0">
                  <c:v>41</c:v>
                </c:pt>
                <c:pt idx="1">
                  <c:v>36</c:v>
                </c:pt>
                <c:pt idx="2">
                  <c:v>48</c:v>
                </c:pt>
                <c:pt idx="3">
                  <c:v>37</c:v>
                </c:pt>
                <c:pt idx="4">
                  <c:v>27</c:v>
                </c:pt>
              </c:numCache>
            </c:numRef>
          </c:val>
          <c:smooth val="0"/>
          <c:extLst xmlns:c16r2="http://schemas.microsoft.com/office/drawing/2015/06/chart">
            <c:ext xmlns:c16="http://schemas.microsoft.com/office/drawing/2014/chart" uri="{C3380CC4-5D6E-409C-BE32-E72D297353CC}">
              <c16:uniqueId val="{00000000-1C37-4E12-9203-32E127667BE8}"/>
            </c:ext>
          </c:extLst>
        </c:ser>
        <c:dLbls>
          <c:showLegendKey val="0"/>
          <c:showVal val="0"/>
          <c:showCatName val="0"/>
          <c:showSerName val="0"/>
          <c:showPercent val="0"/>
          <c:showBubbleSize val="0"/>
        </c:dLbls>
        <c:marker val="1"/>
        <c:smooth val="0"/>
        <c:axId val="207373440"/>
        <c:axId val="207374976"/>
      </c:lineChart>
      <c:catAx>
        <c:axId val="207373440"/>
        <c:scaling>
          <c:orientation val="minMax"/>
        </c:scaling>
        <c:delete val="0"/>
        <c:axPos val="b"/>
        <c:numFmt formatCode="General" sourceLinked="1"/>
        <c:majorTickMark val="none"/>
        <c:minorTickMark val="none"/>
        <c:tickLblPos val="nextTo"/>
        <c:spPr>
          <a:noFill/>
          <a:ln w="12682"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207374976"/>
        <c:crosses val="autoZero"/>
        <c:auto val="1"/>
        <c:lblAlgn val="ctr"/>
        <c:lblOffset val="100"/>
        <c:noMultiLvlLbl val="0"/>
      </c:catAx>
      <c:valAx>
        <c:axId val="207374976"/>
        <c:scaling>
          <c:orientation val="minMax"/>
          <c:min val="10"/>
        </c:scaling>
        <c:delete val="1"/>
        <c:axPos val="l"/>
        <c:majorGridlines>
          <c:spPr>
            <a:ln w="9512" cap="flat" cmpd="sng" algn="ctr">
              <a:solidFill>
                <a:schemeClr val="tx1">
                  <a:lumMod val="15000"/>
                  <a:lumOff val="85000"/>
                </a:schemeClr>
              </a:solidFill>
              <a:round/>
            </a:ln>
            <a:effectLst/>
          </c:spPr>
        </c:majorGridlines>
        <c:numFmt formatCode="General" sourceLinked="1"/>
        <c:majorTickMark val="out"/>
        <c:minorTickMark val="none"/>
        <c:tickLblPos val="nextTo"/>
        <c:crossAx val="207373440"/>
        <c:crosses val="autoZero"/>
        <c:crossBetween val="between"/>
      </c:valAx>
      <c:spPr>
        <a:noFill/>
        <a:ln w="25365">
          <a:noFill/>
        </a:ln>
      </c:spPr>
    </c:plotArea>
    <c:plotVisOnly val="1"/>
    <c:dispBlanksAs val="gap"/>
    <c:showDLblsOverMax val="0"/>
  </c:chart>
  <c:spPr>
    <a:solidFill>
      <a:schemeClr val="bg1"/>
    </a:solidFill>
    <a:ln w="9512"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Arial" panose="020B0604020202020204" pitchFamily="34" charset="0"/>
                <a:cs typeface="Arial" panose="020B0604020202020204" pitchFamily="34" charset="0"/>
              </a:defRPr>
            </a:pPr>
            <a:r>
              <a:rPr lang="en-US" sz="1100" b="0" i="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7 EU Pilot files opened against </a:t>
            </a:r>
            <a:r>
              <a:rPr lang="en-US" sz="1100" b="0" i="0" u="none" strike="noStrike" kern="120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Hungary</a:t>
            </a:r>
            <a:endParaRPr lang="en-GB" sz="1100">
              <a:solidFill>
                <a:srgbClr val="002060"/>
              </a:solidFill>
              <a:effectLst/>
              <a:latin typeface="Arial" panose="020B0604020202020204" pitchFamily="34" charset="0"/>
              <a:ea typeface="Verdana" panose="020B0604030504040204" pitchFamily="34" charset="0"/>
              <a:cs typeface="Arial" panose="020B0604020202020204" pitchFamily="34" charset="0"/>
            </a:endParaRPr>
          </a:p>
        </c:rich>
      </c:tx>
      <c:overlay val="0"/>
    </c:title>
    <c:autoTitleDeleted val="0"/>
    <c:plotArea>
      <c:layout/>
      <c:pieChart>
        <c:varyColors val="1"/>
        <c:ser>
          <c:idx val="0"/>
          <c:order val="0"/>
          <c:tx>
            <c:strRef>
              <c:f>Blad1!$B$1</c:f>
              <c:strCache>
                <c:ptCount val="1"/>
                <c:pt idx="0">
                  <c:v>[Number of new EU Pilot files ] EU Pilot files opened against [Member State]</c:v>
                </c:pt>
              </c:strCache>
            </c:strRef>
          </c:tx>
          <c:spPr>
            <a:scene3d>
              <a:camera prst="orthographicFront"/>
              <a:lightRig rig="threePt" dir="t"/>
            </a:scene3d>
            <a:sp3d>
              <a:bevelT w="63500" h="25400"/>
            </a:sp3d>
          </c:spPr>
          <c:dPt>
            <c:idx val="0"/>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4AB1-4FBA-8198-02ED57BFE6EB}"/>
              </c:ext>
            </c:extLst>
          </c:dPt>
          <c:dPt>
            <c:idx val="1"/>
            <c:bubble3D val="0"/>
            <c:spPr>
              <a:solidFill>
                <a:srgbClr val="E7511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4AB1-4FBA-8198-02ED57BFE6EB}"/>
              </c:ext>
            </c:extLst>
          </c:dPt>
          <c:dPt>
            <c:idx val="2"/>
            <c:bubble3D val="0"/>
            <c:spPr>
              <a:solidFill>
                <a:srgbClr val="A65CDE"/>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4AB1-4FBA-8198-02ED57BFE6EB}"/>
              </c:ext>
            </c:extLst>
          </c:dPt>
          <c:dPt>
            <c:idx val="3"/>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4AB1-4FBA-8198-02ED57BFE6EB}"/>
              </c:ext>
            </c:extLst>
          </c:dPt>
          <c:dPt>
            <c:idx val="4"/>
            <c:bubble3D val="0"/>
            <c:spPr>
              <a:solidFill>
                <a:srgbClr val="000099"/>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4AB1-4FBA-8198-02ED57BFE6EB}"/>
              </c:ext>
            </c:extLst>
          </c:dPt>
          <c:dLbls>
            <c:dLbl>
              <c:idx val="0"/>
              <c:layout>
                <c:manualLayout>
                  <c:x val="3.8097112860892388E-2"/>
                  <c:y val="-9.9489815839135812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4AB1-4FBA-8198-02ED57BFE6EB}"/>
                </c:ext>
              </c:extLst>
            </c:dLbl>
            <c:dLbl>
              <c:idx val="1"/>
              <c:layout>
                <c:manualLayout>
                  <c:x val="5.3575577642958564E-3"/>
                  <c:y val="7.5616971145933493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4AB1-4FBA-8198-02ED57BFE6EB}"/>
                </c:ext>
              </c:extLst>
            </c:dLbl>
            <c:dLbl>
              <c:idx val="2"/>
              <c:layout>
                <c:manualLayout>
                  <c:x val="2.4682457725571188E-2"/>
                  <c:y val="-5.4363245916574481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4AB1-4FBA-8198-02ED57BFE6EB}"/>
                </c:ext>
              </c:extLst>
            </c:dLbl>
            <c:dLbl>
              <c:idx val="3"/>
              <c:layout>
                <c:manualLayout>
                  <c:x val="0.16990878189406652"/>
                  <c:y val="-1.3192772391054425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4AB1-4FBA-8198-02ED57BFE6EB}"/>
                </c:ext>
              </c:extLst>
            </c:dLbl>
            <c:dLbl>
              <c:idx val="4"/>
              <c:layout>
                <c:manualLayout>
                  <c:x val="-2.7412280701754384E-3"/>
                  <c:y val="0"/>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AB1-4FBA-8198-02ED57BFE6EB}"/>
                </c:ext>
              </c:extLst>
            </c:dLbl>
            <c:spPr>
              <a:noFill/>
              <a:ln w="25390">
                <a:noFill/>
              </a:ln>
            </c:spPr>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Blad1!$A$3:$A$6</c:f>
              <c:strCache>
                <c:ptCount val="4"/>
                <c:pt idx="0">
                  <c:v>Taxation and customs</c:v>
                </c:pt>
                <c:pt idx="1">
                  <c:v>Energy</c:v>
                </c:pt>
                <c:pt idx="2">
                  <c:v>Economic and financial affairs</c:v>
                </c:pt>
                <c:pt idx="3">
                  <c:v>Environment</c:v>
                </c:pt>
              </c:strCache>
            </c:strRef>
          </c:cat>
          <c:val>
            <c:numRef>
              <c:f>Blad1!$B$3:$B$6</c:f>
              <c:numCache>
                <c:formatCode>General</c:formatCode>
                <c:ptCount val="4"/>
                <c:pt idx="0">
                  <c:v>3</c:v>
                </c:pt>
                <c:pt idx="1">
                  <c:v>2</c:v>
                </c:pt>
                <c:pt idx="2">
                  <c:v>1</c:v>
                </c:pt>
                <c:pt idx="3">
                  <c:v>1</c:v>
                </c:pt>
              </c:numCache>
            </c:numRef>
          </c:val>
          <c:extLst xmlns:c16r2="http://schemas.microsoft.com/office/drawing/2015/06/chart">
            <c:ext xmlns:c16="http://schemas.microsoft.com/office/drawing/2014/chart" uri="{C3380CC4-5D6E-409C-BE32-E72D297353CC}">
              <c16:uniqueId val="{0000000A-4AB1-4FBA-8198-02ED57BFE6EB}"/>
            </c:ext>
          </c:extLst>
        </c:ser>
        <c:dLbls>
          <c:showLegendKey val="0"/>
          <c:showVal val="0"/>
          <c:showCatName val="0"/>
          <c:showSerName val="0"/>
          <c:showPercent val="0"/>
          <c:showBubbleSize val="0"/>
          <c:showLeaderLines val="0"/>
        </c:dLbls>
        <c:firstSliceAng val="203"/>
      </c:pieChart>
      <c:spPr>
        <a:noFill/>
        <a:ln w="25390">
          <a:noFill/>
        </a:ln>
      </c:spPr>
    </c:plotArea>
    <c:plotVisOnly val="1"/>
    <c:dispBlanksAs val="gap"/>
    <c:showDLblsOverMax val="0"/>
  </c:chart>
  <c:spPr>
    <a:solidFill>
      <a:schemeClr val="bg1"/>
    </a:solidFill>
    <a:ln w="952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Blad1!$B$2</c:f>
              <c:strCache>
                <c:ptCount val="1"/>
                <c:pt idx="0">
                  <c:v>Hungary</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5.2775525152379224E-2"/>
                  <c:y val="-6.051724137931034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CEE4-45C1-9925-855A9BBD5C2D}"/>
                </c:ext>
              </c:extLst>
            </c:dLbl>
            <c:dLbl>
              <c:idx val="1"/>
              <c:layout>
                <c:manualLayout>
                  <c:x val="-5.8267499620398691E-2"/>
                  <c:y val="6.557050659763420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CEE4-45C1-9925-855A9BBD5C2D}"/>
                </c:ext>
              </c:extLst>
            </c:dLbl>
            <c:dLbl>
              <c:idx val="2"/>
              <c:layout>
                <c:manualLayout>
                  <c:x val="-4.722730879570286E-2"/>
                  <c:y val="6.574169608109331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CEE4-45C1-9925-855A9BBD5C2D}"/>
                </c:ext>
              </c:extLst>
            </c:dLbl>
            <c:dLbl>
              <c:idx val="3"/>
              <c:layout>
                <c:manualLayout>
                  <c:x val="-5.9263958284284234E-2"/>
                  <c:y val="7.227893927052221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CEE4-45C1-9925-855A9BBD5C2D}"/>
                </c:ext>
              </c:extLst>
            </c:dLbl>
            <c:dLbl>
              <c:idx val="4"/>
              <c:layout>
                <c:manualLayout>
                  <c:x val="-2.2319483420973764E-2"/>
                  <c:y val="-8.949110401822071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CEE4-45C1-9925-855A9BBD5C2D}"/>
                </c:ext>
              </c:extLst>
            </c:dLbl>
            <c:spPr>
              <a:noFill/>
              <a:ln w="25395">
                <a:noFill/>
              </a:ln>
            </c:spPr>
            <c:txPr>
              <a:bodyPr/>
              <a:lstStyle/>
              <a:p>
                <a:pPr>
                  <a:defRPr sz="90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0%</c:formatCode>
                <c:ptCount val="5"/>
                <c:pt idx="0">
                  <c:v>0.76</c:v>
                </c:pt>
                <c:pt idx="1">
                  <c:v>0.62</c:v>
                </c:pt>
                <c:pt idx="2">
                  <c:v>0.69</c:v>
                </c:pt>
                <c:pt idx="3">
                  <c:v>0.5</c:v>
                </c:pt>
                <c:pt idx="4">
                  <c:v>0.82</c:v>
                </c:pt>
              </c:numCache>
            </c:numRef>
          </c:val>
          <c:smooth val="0"/>
          <c:extLst xmlns:c16r2="http://schemas.microsoft.com/office/drawing/2015/06/chart">
            <c:ext xmlns:c16="http://schemas.microsoft.com/office/drawing/2014/chart" uri="{C3380CC4-5D6E-409C-BE32-E72D297353CC}">
              <c16:uniqueId val="{00000005-CEE4-45C1-9925-855A9BBD5C2D}"/>
            </c:ext>
          </c:extLst>
        </c:ser>
        <c:ser>
          <c:idx val="1"/>
          <c:order val="1"/>
          <c:tx>
            <c:strRef>
              <c:f>Blad1!$C$2</c:f>
              <c:strCache>
                <c:ptCount val="1"/>
                <c:pt idx="0">
                  <c:v>General rate for all Member States</c:v>
                </c:pt>
              </c:strCache>
            </c:strRef>
          </c:tx>
          <c:spPr>
            <a:ln w="25395">
              <a:solidFill>
                <a:srgbClr val="92D050"/>
              </a:solidFill>
            </a:ln>
          </c:spPr>
          <c:marker>
            <c:symbol val="square"/>
            <c:size val="4"/>
            <c:spPr>
              <a:solidFill>
                <a:srgbClr val="92D050"/>
              </a:solidFill>
              <a:ln>
                <a:solidFill>
                  <a:srgbClr val="92D050"/>
                </a:solidFill>
              </a:ln>
            </c:spPr>
          </c:marker>
          <c:dLbls>
            <c:dLbl>
              <c:idx val="0"/>
              <c:layout>
                <c:manualLayout>
                  <c:x val="-5.5544074432556385E-2"/>
                  <c:y val="8.350574712643683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CEE4-45C1-9925-855A9BBD5C2D}"/>
                </c:ext>
              </c:extLst>
            </c:dLbl>
            <c:dLbl>
              <c:idx val="1"/>
              <c:layout>
                <c:manualLayout>
                  <c:x val="-4.9965293594499034E-2"/>
                  <c:y val="-6.507613346276920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CEE4-45C1-9925-855A9BBD5C2D}"/>
                </c:ext>
              </c:extLst>
            </c:dLbl>
            <c:dLbl>
              <c:idx val="2"/>
              <c:layout>
                <c:manualLayout>
                  <c:x val="-4.722730879570286E-2"/>
                  <c:y val="-5.998099375509094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CEE4-45C1-9925-855A9BBD5C2D}"/>
                </c:ext>
              </c:extLst>
            </c:dLbl>
            <c:dLbl>
              <c:idx val="4"/>
              <c:layout>
                <c:manualLayout>
                  <c:x val="-4.4502522429167357E-2"/>
                  <c:y val="4.904493865704215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CEE4-45C1-9925-855A9BBD5C2D}"/>
                </c:ext>
              </c:extLst>
            </c:dLbl>
            <c:spPr>
              <a:noFill/>
              <a:ln w="25395">
                <a:noFill/>
              </a:ln>
            </c:spPr>
            <c:txPr>
              <a:bodyPr/>
              <a:lstStyle/>
              <a:p>
                <a:pPr>
                  <a:defRPr sz="900">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2013</c:v>
                </c:pt>
                <c:pt idx="1">
                  <c:v>2014</c:v>
                </c:pt>
                <c:pt idx="2">
                  <c:v>2015</c:v>
                </c:pt>
                <c:pt idx="3">
                  <c:v>2016</c:v>
                </c:pt>
                <c:pt idx="4">
                  <c:v>2017</c:v>
                </c:pt>
              </c:numCache>
            </c:numRef>
          </c:cat>
          <c:val>
            <c:numRef>
              <c:f>Blad1!$C$3:$C$7</c:f>
              <c:numCache>
                <c:formatCode>0%</c:formatCode>
                <c:ptCount val="5"/>
                <c:pt idx="0">
                  <c:v>0.7</c:v>
                </c:pt>
                <c:pt idx="1">
                  <c:v>0.75</c:v>
                </c:pt>
                <c:pt idx="2">
                  <c:v>0.75</c:v>
                </c:pt>
                <c:pt idx="3">
                  <c:v>0.72</c:v>
                </c:pt>
                <c:pt idx="4">
                  <c:v>0.77</c:v>
                </c:pt>
              </c:numCache>
            </c:numRef>
          </c:val>
          <c:smooth val="0"/>
          <c:extLst xmlns:c16r2="http://schemas.microsoft.com/office/drawing/2015/06/chart">
            <c:ext xmlns:c16="http://schemas.microsoft.com/office/drawing/2014/chart" uri="{C3380CC4-5D6E-409C-BE32-E72D297353CC}">
              <c16:uniqueId val="{0000000A-CEE4-45C1-9925-855A9BBD5C2D}"/>
            </c:ext>
          </c:extLst>
        </c:ser>
        <c:dLbls>
          <c:showLegendKey val="0"/>
          <c:showVal val="0"/>
          <c:showCatName val="0"/>
          <c:showSerName val="0"/>
          <c:showPercent val="0"/>
          <c:showBubbleSize val="0"/>
        </c:dLbls>
        <c:marker val="1"/>
        <c:smooth val="0"/>
        <c:axId val="207622912"/>
        <c:axId val="207624448"/>
      </c:lineChart>
      <c:catAx>
        <c:axId val="207622912"/>
        <c:scaling>
          <c:orientation val="minMax"/>
        </c:scaling>
        <c:delete val="0"/>
        <c:axPos val="b"/>
        <c:numFmt formatCode="General" sourceLinked="1"/>
        <c:majorTickMark val="none"/>
        <c:minorTickMark val="none"/>
        <c:tickLblPos val="nextTo"/>
        <c:spPr>
          <a:noFill/>
          <a:ln w="12697"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207624448"/>
        <c:crosses val="autoZero"/>
        <c:auto val="1"/>
        <c:lblAlgn val="ctr"/>
        <c:lblOffset val="100"/>
        <c:noMultiLvlLbl val="0"/>
      </c:catAx>
      <c:valAx>
        <c:axId val="207624448"/>
        <c:scaling>
          <c:orientation val="minMax"/>
        </c:scaling>
        <c:delete val="1"/>
        <c:axPos val="l"/>
        <c:majorGridlines>
          <c:spPr>
            <a:ln w="9523" cap="flat" cmpd="sng" algn="ctr">
              <a:solidFill>
                <a:schemeClr val="tx1">
                  <a:lumMod val="15000"/>
                  <a:lumOff val="85000"/>
                </a:schemeClr>
              </a:solidFill>
              <a:round/>
            </a:ln>
            <a:effectLst/>
          </c:spPr>
        </c:majorGridlines>
        <c:numFmt formatCode="0%" sourceLinked="1"/>
        <c:majorTickMark val="out"/>
        <c:minorTickMark val="none"/>
        <c:tickLblPos val="nextTo"/>
        <c:crossAx val="207622912"/>
        <c:crosses val="autoZero"/>
        <c:crossBetween val="between"/>
      </c:valAx>
      <c:spPr>
        <a:noFill/>
        <a:ln w="25395">
          <a:noFill/>
        </a:ln>
      </c:spPr>
    </c:plotArea>
    <c:legend>
      <c:legendPos val="b"/>
      <c:overlay val="0"/>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23"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Lbls>
            <c:dLbl>
              <c:idx val="3"/>
              <c:layout>
                <c:manualLayout>
                  <c:x val="-3.9355037015721871E-2"/>
                  <c:y val="-5.615406731402390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C35A-4373-97C1-4B5505B05D8D}"/>
                </c:ext>
              </c:extLst>
            </c:dLbl>
            <c:dLbl>
              <c:idx val="4"/>
              <c:layout>
                <c:manualLayout>
                  <c:x val="-4.7749191234816579E-2"/>
                  <c:y val="7.287220722851339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9FBD-42ED-9766-801E047AC6BB}"/>
                </c:ext>
              </c:extLst>
            </c:dLbl>
            <c:spPr>
              <a:noFill/>
              <a:ln w="25384">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Blad1!$A$4:$A$8</c:f>
              <c:numCache>
                <c:formatCode>General</c:formatCode>
                <c:ptCount val="5"/>
                <c:pt idx="0">
                  <c:v>2013</c:v>
                </c:pt>
                <c:pt idx="1">
                  <c:v>2014</c:v>
                </c:pt>
                <c:pt idx="2">
                  <c:v>2015</c:v>
                </c:pt>
                <c:pt idx="3">
                  <c:v>2016</c:v>
                </c:pt>
                <c:pt idx="4">
                  <c:v>2017</c:v>
                </c:pt>
              </c:numCache>
            </c:numRef>
          </c:cat>
          <c:val>
            <c:numRef>
              <c:f>Blad1!$B$4:$B$8</c:f>
              <c:numCache>
                <c:formatCode>General</c:formatCode>
                <c:ptCount val="5"/>
                <c:pt idx="0">
                  <c:v>37</c:v>
                </c:pt>
                <c:pt idx="1">
                  <c:v>44</c:v>
                </c:pt>
                <c:pt idx="2">
                  <c:v>38</c:v>
                </c:pt>
                <c:pt idx="3">
                  <c:v>57</c:v>
                </c:pt>
                <c:pt idx="4">
                  <c:v>48</c:v>
                </c:pt>
              </c:numCache>
            </c:numRef>
          </c:val>
          <c:smooth val="0"/>
          <c:extLst xmlns:c16r2="http://schemas.microsoft.com/office/drawing/2015/06/chart">
            <c:ext xmlns:c16="http://schemas.microsoft.com/office/drawing/2014/chart" uri="{C3380CC4-5D6E-409C-BE32-E72D297353CC}">
              <c16:uniqueId val="{00000001-9FBD-42ED-9766-801E047AC6BB}"/>
            </c:ext>
          </c:extLst>
        </c:ser>
        <c:dLbls>
          <c:showLegendKey val="0"/>
          <c:showVal val="0"/>
          <c:showCatName val="0"/>
          <c:showSerName val="0"/>
          <c:showPercent val="0"/>
          <c:showBubbleSize val="0"/>
        </c:dLbls>
        <c:marker val="1"/>
        <c:smooth val="0"/>
        <c:axId val="207650816"/>
        <c:axId val="207652352"/>
      </c:lineChart>
      <c:catAx>
        <c:axId val="207650816"/>
        <c:scaling>
          <c:orientation val="minMax"/>
        </c:scaling>
        <c:delete val="0"/>
        <c:axPos val="b"/>
        <c:numFmt formatCode="General" sourceLinked="1"/>
        <c:majorTickMark val="none"/>
        <c:minorTickMark val="none"/>
        <c:tickLblPos val="nextTo"/>
        <c:spPr>
          <a:noFill/>
          <a:ln w="12692"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207652352"/>
        <c:crosses val="autoZero"/>
        <c:auto val="1"/>
        <c:lblAlgn val="ctr"/>
        <c:lblOffset val="100"/>
        <c:noMultiLvlLbl val="0"/>
      </c:catAx>
      <c:valAx>
        <c:axId val="207652352"/>
        <c:scaling>
          <c:orientation val="minMax"/>
          <c:min val="30"/>
        </c:scaling>
        <c:delete val="1"/>
        <c:axPos val="l"/>
        <c:majorGridlines>
          <c:spPr>
            <a:ln w="9519" cap="flat" cmpd="sng" algn="ctr">
              <a:solidFill>
                <a:schemeClr val="tx1">
                  <a:lumMod val="15000"/>
                  <a:lumOff val="85000"/>
                </a:schemeClr>
              </a:solidFill>
              <a:round/>
            </a:ln>
            <a:effectLst/>
          </c:spPr>
        </c:majorGridlines>
        <c:numFmt formatCode="General" sourceLinked="1"/>
        <c:majorTickMark val="out"/>
        <c:minorTickMark val="none"/>
        <c:tickLblPos val="nextTo"/>
        <c:crossAx val="207650816"/>
        <c:crosses val="autoZero"/>
        <c:crossBetween val="between"/>
      </c:valAx>
      <c:spPr>
        <a:noFill/>
        <a:ln w="25384">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9"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US" sz="1099" b="0" baseline="0">
                <a:solidFill>
                  <a:srgbClr val="002060"/>
                </a:solidFill>
                <a:latin typeface="Arial" panose="020B0604020202020204" pitchFamily="34" charset="0"/>
                <a:ea typeface="Verdana" panose="020B0604030504040204" pitchFamily="34" charset="0"/>
                <a:cs typeface="Arial" panose="020B0604020202020204" pitchFamily="34" charset="0"/>
              </a:rPr>
              <a:t>24 new </a:t>
            </a:r>
            <a:r>
              <a:rPr lang="en-US" sz="1099"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against</a:t>
            </a:r>
            <a:r>
              <a:rPr lang="en-US" sz="1099" b="0" baseline="0">
                <a:solidFill>
                  <a:srgbClr val="002060"/>
                </a:solidFill>
                <a:latin typeface="Arial" panose="020B0604020202020204" pitchFamily="34" charset="0"/>
                <a:ea typeface="Verdana" panose="020B0604030504040204" pitchFamily="34" charset="0"/>
                <a:cs typeface="Arial" panose="020B0604020202020204" pitchFamily="34" charset="0"/>
              </a:rPr>
              <a:t> </a:t>
            </a:r>
            <a:r>
              <a:rPr lang="en-US" sz="10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Hungary</a:t>
            </a:r>
            <a:endParaRPr lang="en-US"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621810967896529"/>
          <c:y val="3.2786784004940554E-2"/>
        </c:manualLayout>
      </c:layout>
      <c:overlay val="0"/>
      <c:spPr>
        <a:noFill/>
        <a:ln w="25370">
          <a:noFill/>
        </a:ln>
      </c:spPr>
    </c:title>
    <c:autoTitleDeleted val="0"/>
    <c:plotArea>
      <c:layout/>
      <c:pieChart>
        <c:varyColors val="1"/>
        <c:ser>
          <c:idx val="0"/>
          <c:order val="0"/>
          <c:tx>
            <c:strRef>
              <c:f>Blad1!$B$1</c:f>
              <c:strCache>
                <c:ptCount val="1"/>
                <c:pt idx="0">
                  <c:v>[Number of infringement cases] infringement cases against Hungary</c:v>
                </c:pt>
              </c:strCache>
            </c:strRef>
          </c:tx>
          <c:spPr>
            <a:scene3d>
              <a:camera prst="orthographicFront"/>
              <a:lightRig rig="threePt" dir="t"/>
            </a:scene3d>
            <a:sp3d>
              <a:bevelT w="63500" h="25400"/>
            </a:sp3d>
          </c:spPr>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2285-4C0E-B2EF-ABD0772F1A6B}"/>
              </c:ext>
            </c:extLst>
          </c:dPt>
          <c:dPt>
            <c:idx val="1"/>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2285-4C0E-B2EF-ABD0772F1A6B}"/>
              </c:ext>
            </c:extLst>
          </c:dPt>
          <c:dPt>
            <c:idx val="2"/>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2285-4C0E-B2EF-ABD0772F1A6B}"/>
              </c:ext>
            </c:extLst>
          </c:dPt>
          <c:dPt>
            <c:idx val="3"/>
            <c:bubble3D val="0"/>
            <c:spPr>
              <a:solidFill>
                <a:srgbClr val="FF7DF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2285-4C0E-B2EF-ABD0772F1A6B}"/>
              </c:ext>
            </c:extLst>
          </c:dPt>
          <c:dPt>
            <c:idx val="4"/>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2285-4C0E-B2EF-ABD0772F1A6B}"/>
              </c:ext>
            </c:extLst>
          </c:dPt>
          <c:dPt>
            <c:idx val="5"/>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2285-4C0E-B2EF-ABD0772F1A6B}"/>
              </c:ext>
            </c:extLst>
          </c:dPt>
          <c:dPt>
            <c:idx val="6"/>
            <c:bubble3D val="0"/>
            <c:extLst xmlns:c16r2="http://schemas.microsoft.com/office/drawing/2015/06/chart">
              <c:ext xmlns:c16="http://schemas.microsoft.com/office/drawing/2014/chart" uri="{C3380CC4-5D6E-409C-BE32-E72D297353CC}">
                <c16:uniqueId val="{0000000C-2285-4C0E-B2EF-ABD0772F1A6B}"/>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285-4C0E-B2EF-ABD0772F1A6B}"/>
                </c:ext>
              </c:extLst>
            </c:dLbl>
            <c:dLbl>
              <c:idx val="1"/>
              <c:layout>
                <c:manualLayout>
                  <c:x val="2.6662745994924654E-3"/>
                  <c:y val="1.0271065254774187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2285-4C0E-B2EF-ABD0772F1A6B}"/>
                </c:ext>
              </c:extLst>
            </c:dLbl>
            <c:dLbl>
              <c:idx val="2"/>
              <c:layout>
                <c:manualLayout>
                  <c:x val="-8.3930691236209585E-3"/>
                  <c:y val="0.11336817811566657"/>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2285-4C0E-B2EF-ABD0772F1A6B}"/>
                </c:ext>
              </c:extLst>
            </c:dLbl>
            <c:dLbl>
              <c:idx val="3"/>
              <c:layout>
                <c:manualLayout>
                  <c:x val="9.3928404177693551E-3"/>
                  <c:y val="-2.9697257670377463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2285-4C0E-B2EF-ABD0772F1A6B}"/>
                </c:ext>
              </c:extLst>
            </c:dLbl>
            <c:dLbl>
              <c:idx val="4"/>
              <c:layout>
                <c:manualLayout>
                  <c:x val="2.1855131179142027E-2"/>
                  <c:y val="-6.4026608742872665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2285-4C0E-B2EF-ABD0772F1A6B}"/>
                </c:ext>
              </c:extLst>
            </c:dLbl>
            <c:dLbl>
              <c:idx val="5"/>
              <c:layout>
                <c:manualLayout>
                  <c:x val="-5.5082824190544645E-2"/>
                  <c:y val="-9.7701149425287362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2285-4C0E-B2EF-ABD0772F1A6B}"/>
                </c:ext>
              </c:extLst>
            </c:dLbl>
            <c:dLbl>
              <c:idx val="6"/>
              <c:layout>
                <c:manualLayout>
                  <c:x val="4.9916805324459232E-2"/>
                  <c:y val="3.2786885245901641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2285-4C0E-B2EF-ABD0772F1A6B}"/>
                </c:ext>
              </c:extLst>
            </c:dLbl>
            <c:spPr>
              <a:noFill/>
              <a:ln w="2537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Blad1!$A$2:$A$7</c:f>
              <c:strCache>
                <c:ptCount val="6"/>
                <c:pt idx="0">
                  <c:v>Policy Area</c:v>
                </c:pt>
                <c:pt idx="1">
                  <c:v>Environment</c:v>
                </c:pt>
                <c:pt idx="2">
                  <c:v>Mobility and transport</c:v>
                </c:pt>
                <c:pt idx="3">
                  <c:v>Health and food safety</c:v>
                </c:pt>
                <c:pt idx="4">
                  <c:v>Justice and consumers</c:v>
                </c:pt>
                <c:pt idx="5">
                  <c:v>Other</c:v>
                </c:pt>
              </c:strCache>
            </c:strRef>
          </c:cat>
          <c:val>
            <c:numRef>
              <c:f>Blad1!$B$2:$B$7</c:f>
              <c:numCache>
                <c:formatCode>General</c:formatCode>
                <c:ptCount val="6"/>
                <c:pt idx="0">
                  <c:v>0</c:v>
                </c:pt>
                <c:pt idx="1">
                  <c:v>6</c:v>
                </c:pt>
                <c:pt idx="2">
                  <c:v>5</c:v>
                </c:pt>
                <c:pt idx="3">
                  <c:v>3</c:v>
                </c:pt>
                <c:pt idx="4">
                  <c:v>3</c:v>
                </c:pt>
                <c:pt idx="5">
                  <c:v>7</c:v>
                </c:pt>
              </c:numCache>
            </c:numRef>
          </c:val>
          <c:extLst xmlns:c16r2="http://schemas.microsoft.com/office/drawing/2015/06/chart">
            <c:ext xmlns:c16="http://schemas.microsoft.com/office/drawing/2014/chart" uri="{C3380CC4-5D6E-409C-BE32-E72D297353CC}">
              <c16:uniqueId val="{0000000D-2285-4C0E-B2EF-ABD0772F1A6B}"/>
            </c:ext>
          </c:extLst>
        </c:ser>
        <c:dLbls>
          <c:showLegendKey val="0"/>
          <c:showVal val="0"/>
          <c:showCatName val="0"/>
          <c:showSerName val="0"/>
          <c:showPercent val="0"/>
          <c:showBubbleSize val="0"/>
          <c:showLeaderLines val="0"/>
        </c:dLbls>
        <c:firstSliceAng val="263"/>
      </c:pieChart>
      <c:spPr>
        <a:noFill/>
        <a:ln w="25370">
          <a:noFill/>
        </a:ln>
      </c:spPr>
    </c:plotArea>
    <c:plotVisOnly val="1"/>
    <c:dispBlanksAs val="gap"/>
    <c:showDLblsOverMax val="0"/>
  </c:chart>
  <c:spPr>
    <a:solidFill>
      <a:schemeClr val="bg1"/>
    </a:solidFill>
    <a:ln w="951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mn-lt"/>
                <a:ea typeface="+mn-ea"/>
                <a:cs typeface="+mn-cs"/>
              </a:defRPr>
            </a:pPr>
            <a:r>
              <a:rPr lang="en-US" sz="1100" b="0" i="0">
                <a:solidFill>
                  <a:srgbClr val="002060"/>
                </a:solidFill>
                <a:latin typeface="Arial" panose="020B0604020202020204" pitchFamily="34" charset="0"/>
                <a:ea typeface="Verdana" panose="020B0604030504040204" pitchFamily="34" charset="0"/>
                <a:cs typeface="Arial" panose="020B0604020202020204" pitchFamily="34" charset="0"/>
              </a:rPr>
              <a:t>31 complaints made against </a:t>
            </a:r>
            <a:r>
              <a:rPr lang="en-US"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Luxembourg</a:t>
            </a:r>
            <a:endParaRPr lang="en-US" sz="1100" b="0" i="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overlay val="0"/>
      <c:spPr>
        <a:noFill/>
        <a:ln w="25401">
          <a:noFill/>
        </a:ln>
      </c:spPr>
    </c:title>
    <c:autoTitleDeleted val="0"/>
    <c:plotArea>
      <c:layout/>
      <c:pieChart>
        <c:varyColors val="1"/>
        <c:ser>
          <c:idx val="0"/>
          <c:order val="0"/>
          <c:tx>
            <c:strRef>
              <c:f>Blad1!$B$1</c:f>
              <c:strCache>
                <c:ptCount val="1"/>
                <c:pt idx="0">
                  <c:v>[Number of new complaints] complaints made against [Member State]</c:v>
                </c:pt>
              </c:strCache>
            </c:strRef>
          </c:tx>
          <c:spPr>
            <a:scene3d>
              <a:camera prst="orthographicFront"/>
              <a:lightRig rig="threePt" dir="t"/>
            </a:scene3d>
            <a:sp3d>
              <a:bevelT w="63500" h="25400"/>
            </a:sp3d>
          </c:spPr>
          <c:dPt>
            <c:idx val="0"/>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B10C-4055-BA44-C48E2FEBC714}"/>
              </c:ext>
            </c:extLst>
          </c:dPt>
          <c:dPt>
            <c:idx val="1"/>
            <c:bubble3D val="0"/>
            <c:spPr>
              <a:solidFill>
                <a:srgbClr val="FFD617"/>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B10C-4055-BA44-C48E2FEBC714}"/>
              </c:ext>
            </c:extLst>
          </c:dPt>
          <c:dPt>
            <c:idx val="2"/>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B10C-4055-BA44-C48E2FEBC714}"/>
              </c:ext>
            </c:extLst>
          </c:dPt>
          <c:dPt>
            <c:idx val="3"/>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B10C-4055-BA44-C48E2FEBC714}"/>
              </c:ext>
            </c:extLst>
          </c:dPt>
          <c:dPt>
            <c:idx val="4"/>
            <c:bubble3D val="0"/>
            <c:extLst xmlns:c16r2="http://schemas.microsoft.com/office/drawing/2015/06/chart">
              <c:ext xmlns:c16="http://schemas.microsoft.com/office/drawing/2014/chart" uri="{C3380CC4-5D6E-409C-BE32-E72D297353CC}">
                <c16:uniqueId val="{00000008-B10C-4055-BA44-C48E2FEBC714}"/>
              </c:ext>
            </c:extLst>
          </c:dPt>
          <c:dLbls>
            <c:dLbl>
              <c:idx val="0"/>
              <c:layout>
                <c:manualLayout>
                  <c:x val="-1.7851848647553653E-2"/>
                  <c:y val="0.10868436372598596"/>
                </c:manualLayout>
              </c:layout>
              <c:spPr>
                <a:noFill/>
                <a:ln w="25401">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B10C-4055-BA44-C48E2FEBC714}"/>
                </c:ext>
              </c:extLst>
            </c:dLbl>
            <c:dLbl>
              <c:idx val="1"/>
              <c:layout>
                <c:manualLayout>
                  <c:x val="-4.1724265978006769E-2"/>
                  <c:y val="-9.28123062287117E-2"/>
                </c:manualLayout>
              </c:layout>
              <c:spPr>
                <a:noFill/>
                <a:ln w="25401">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B10C-4055-BA44-C48E2FEBC714}"/>
                </c:ext>
              </c:extLst>
            </c:dLbl>
            <c:dLbl>
              <c:idx val="2"/>
              <c:layout>
                <c:manualLayout>
                  <c:x val="1.9660775923909832E-2"/>
                  <c:y val="-3.2358637209183902E-2"/>
                </c:manualLayout>
              </c:layout>
              <c:spPr>
                <a:noFill/>
                <a:ln w="25401">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B10C-4055-BA44-C48E2FEBC714}"/>
                </c:ext>
              </c:extLst>
            </c:dLbl>
            <c:dLbl>
              <c:idx val="3"/>
              <c:layout/>
              <c:spPr>
                <a:noFill/>
                <a:ln w="25401">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B10C-4055-BA44-C48E2FEBC714}"/>
                </c:ext>
              </c:extLst>
            </c:dLbl>
            <c:spPr>
              <a:noFill/>
              <a:ln w="25401">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Blad1!$A$3:$A$6</c:f>
              <c:strCache>
                <c:ptCount val="4"/>
                <c:pt idx="0">
                  <c:v>Taxation and customs</c:v>
                </c:pt>
                <c:pt idx="1">
                  <c:v>Employment</c:v>
                </c:pt>
                <c:pt idx="2">
                  <c:v>Internal market, industry, entrepreneurship and SMEs</c:v>
                </c:pt>
                <c:pt idx="3">
                  <c:v>Other</c:v>
                </c:pt>
              </c:strCache>
            </c:strRef>
          </c:cat>
          <c:val>
            <c:numRef>
              <c:f>Blad1!$B$3:$B$6</c:f>
              <c:numCache>
                <c:formatCode>General</c:formatCode>
                <c:ptCount val="4"/>
                <c:pt idx="0">
                  <c:v>11</c:v>
                </c:pt>
                <c:pt idx="1">
                  <c:v>6</c:v>
                </c:pt>
                <c:pt idx="2">
                  <c:v>4</c:v>
                </c:pt>
                <c:pt idx="3">
                  <c:v>10</c:v>
                </c:pt>
              </c:numCache>
            </c:numRef>
          </c:val>
          <c:extLst xmlns:c16r2="http://schemas.microsoft.com/office/drawing/2015/06/chart">
            <c:ext xmlns:c16="http://schemas.microsoft.com/office/drawing/2014/chart" uri="{C3380CC4-5D6E-409C-BE32-E72D297353CC}">
              <c16:uniqueId val="{00000009-B10C-4055-BA44-C48E2FEBC714}"/>
            </c:ext>
          </c:extLst>
        </c:ser>
        <c:dLbls>
          <c:showLegendKey val="0"/>
          <c:showVal val="0"/>
          <c:showCatName val="0"/>
          <c:showSerName val="0"/>
          <c:showPercent val="0"/>
          <c:showBubbleSize val="0"/>
          <c:showLeaderLines val="0"/>
        </c:dLbls>
        <c:firstSliceAng val="263"/>
      </c:pieChart>
      <c:spPr>
        <a:noFill/>
        <a:ln w="25401">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4.2429269919855336E-2"/>
                  <c:y val="6.911154855643045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316F-4D1B-BE2D-7E1F17B45B4D}"/>
                </c:ext>
              </c:extLst>
            </c:dLbl>
            <c:dLbl>
              <c:idx val="2"/>
              <c:layout>
                <c:manualLayout>
                  <c:x val="-4.2419175027870681E-2"/>
                  <c:y val="7.483333333333333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316F-4D1B-BE2D-7E1F17B45B4D}"/>
                </c:ext>
              </c:extLst>
            </c:dLbl>
            <c:dLbl>
              <c:idx val="3"/>
              <c:layout>
                <c:manualLayout>
                  <c:x val="-4.2334555843290878E-2"/>
                  <c:y val="-5.833311533732703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5426-48FB-8964-5E00EF2CB375}"/>
                </c:ext>
              </c:extLst>
            </c:dLbl>
            <c:dLbl>
              <c:idx val="4"/>
              <c:layout>
                <c:manualLayout>
                  <c:x val="-3.9632144214893687E-2"/>
                  <c:y val="6.906511893999939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316F-4D1B-BE2D-7E1F17B45B4D}"/>
                </c:ext>
              </c:extLst>
            </c:dLbl>
            <c:spPr>
              <a:noFill/>
              <a:ln w="25372">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Blad1!$A$2:$A$6</c:f>
              <c:numCache>
                <c:formatCode>General</c:formatCode>
                <c:ptCount val="5"/>
                <c:pt idx="0">
                  <c:v>2013</c:v>
                </c:pt>
                <c:pt idx="1">
                  <c:v>2014</c:v>
                </c:pt>
                <c:pt idx="2">
                  <c:v>2015</c:v>
                </c:pt>
                <c:pt idx="3">
                  <c:v>2016</c:v>
                </c:pt>
                <c:pt idx="4">
                  <c:v>2017</c:v>
                </c:pt>
              </c:numCache>
            </c:numRef>
          </c:cat>
          <c:val>
            <c:numRef>
              <c:f>Blad1!$B$2:$B$6</c:f>
              <c:numCache>
                <c:formatCode>General</c:formatCode>
                <c:ptCount val="5"/>
                <c:pt idx="0">
                  <c:v>16</c:v>
                </c:pt>
                <c:pt idx="1">
                  <c:v>18</c:v>
                </c:pt>
                <c:pt idx="2">
                  <c:v>13</c:v>
                </c:pt>
                <c:pt idx="3">
                  <c:v>32</c:v>
                </c:pt>
                <c:pt idx="4">
                  <c:v>15</c:v>
                </c:pt>
              </c:numCache>
            </c:numRef>
          </c:val>
          <c:smooth val="0"/>
          <c:extLst xmlns:c16r2="http://schemas.microsoft.com/office/drawing/2015/06/chart">
            <c:ext xmlns:c16="http://schemas.microsoft.com/office/drawing/2014/chart" uri="{C3380CC4-5D6E-409C-BE32-E72D297353CC}">
              <c16:uniqueId val="{00000003-316F-4D1B-BE2D-7E1F17B45B4D}"/>
            </c:ext>
          </c:extLst>
        </c:ser>
        <c:dLbls>
          <c:showLegendKey val="0"/>
          <c:showVal val="0"/>
          <c:showCatName val="0"/>
          <c:showSerName val="0"/>
          <c:showPercent val="0"/>
          <c:showBubbleSize val="0"/>
        </c:dLbls>
        <c:marker val="1"/>
        <c:smooth val="0"/>
        <c:axId val="207726464"/>
        <c:axId val="207728000"/>
      </c:lineChart>
      <c:catAx>
        <c:axId val="207726464"/>
        <c:scaling>
          <c:orientation val="minMax"/>
        </c:scaling>
        <c:delete val="0"/>
        <c:axPos val="b"/>
        <c:numFmt formatCode="General" sourceLinked="1"/>
        <c:majorTickMark val="none"/>
        <c:minorTickMark val="none"/>
        <c:tickLblPos val="nextTo"/>
        <c:spPr>
          <a:noFill/>
          <a:ln w="12686"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207728000"/>
        <c:crosses val="autoZero"/>
        <c:auto val="1"/>
        <c:lblAlgn val="ctr"/>
        <c:lblOffset val="100"/>
        <c:noMultiLvlLbl val="0"/>
      </c:catAx>
      <c:valAx>
        <c:axId val="207728000"/>
        <c:scaling>
          <c:orientation val="minMax"/>
          <c:min val="10"/>
        </c:scaling>
        <c:delete val="1"/>
        <c:axPos val="l"/>
        <c:majorGridlines>
          <c:spPr>
            <a:ln w="9515" cap="flat" cmpd="sng" algn="ctr">
              <a:solidFill>
                <a:schemeClr val="tx1">
                  <a:lumMod val="15000"/>
                  <a:lumOff val="85000"/>
                </a:schemeClr>
              </a:solidFill>
              <a:round/>
            </a:ln>
            <a:effectLst/>
          </c:spPr>
        </c:majorGridlines>
        <c:numFmt formatCode="General" sourceLinked="1"/>
        <c:majorTickMark val="out"/>
        <c:minorTickMark val="none"/>
        <c:tickLblPos val="nextTo"/>
        <c:crossAx val="207726464"/>
        <c:crosses val="autoZero"/>
        <c:crossBetween val="between"/>
      </c:valAx>
      <c:spPr>
        <a:noFill/>
        <a:ln w="25372">
          <a:noFill/>
        </a:ln>
      </c:spPr>
    </c:plotArea>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5.3577541937692569E-2"/>
                  <c:y val="7.466710411198590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B2A4-4EC8-B7BC-533CA1D81A90}"/>
                </c:ext>
              </c:extLst>
            </c:dLbl>
            <c:dLbl>
              <c:idx val="3"/>
              <c:layout>
                <c:manualLayout>
                  <c:x val="-4.2334530084393411E-2"/>
                  <c:y val="-6.746635459332943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9FE9-4989-B569-F7A52C98EA94}"/>
                </c:ext>
              </c:extLst>
            </c:dLbl>
            <c:dLbl>
              <c:idx val="4"/>
              <c:layout>
                <c:manualLayout>
                  <c:x val="-4.5192556272702973E-2"/>
                  <c:y val="6.075148501174195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B2A4-4EC8-B7BC-533CA1D81A90}"/>
                </c:ext>
              </c:extLst>
            </c:dLbl>
            <c:spPr>
              <a:noFill/>
              <a:ln w="25386">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Blad1!$A$2:$A$6</c:f>
              <c:numCache>
                <c:formatCode>General</c:formatCode>
                <c:ptCount val="5"/>
                <c:pt idx="0">
                  <c:v>2013</c:v>
                </c:pt>
                <c:pt idx="1">
                  <c:v>2014</c:v>
                </c:pt>
                <c:pt idx="2">
                  <c:v>2015</c:v>
                </c:pt>
                <c:pt idx="3">
                  <c:v>2016</c:v>
                </c:pt>
                <c:pt idx="4">
                  <c:v>2017</c:v>
                </c:pt>
              </c:numCache>
            </c:numRef>
          </c:cat>
          <c:val>
            <c:numRef>
              <c:f>Blad1!$B$2:$B$6</c:f>
              <c:numCache>
                <c:formatCode>General</c:formatCode>
                <c:ptCount val="5"/>
                <c:pt idx="0">
                  <c:v>21</c:v>
                </c:pt>
                <c:pt idx="1">
                  <c:v>26</c:v>
                </c:pt>
                <c:pt idx="2">
                  <c:v>17</c:v>
                </c:pt>
                <c:pt idx="3">
                  <c:v>36</c:v>
                </c:pt>
                <c:pt idx="4">
                  <c:v>13</c:v>
                </c:pt>
              </c:numCache>
            </c:numRef>
          </c:val>
          <c:smooth val="0"/>
          <c:extLst xmlns:c16r2="http://schemas.microsoft.com/office/drawing/2015/06/chart">
            <c:ext xmlns:c16="http://schemas.microsoft.com/office/drawing/2014/chart" uri="{C3380CC4-5D6E-409C-BE32-E72D297353CC}">
              <c16:uniqueId val="{00000002-B2A4-4EC8-B7BC-533CA1D81A90}"/>
            </c:ext>
          </c:extLst>
        </c:ser>
        <c:dLbls>
          <c:showLegendKey val="0"/>
          <c:showVal val="0"/>
          <c:showCatName val="0"/>
          <c:showSerName val="0"/>
          <c:showPercent val="0"/>
          <c:showBubbleSize val="0"/>
        </c:dLbls>
        <c:marker val="1"/>
        <c:smooth val="0"/>
        <c:axId val="207881344"/>
        <c:axId val="207882880"/>
      </c:lineChart>
      <c:catAx>
        <c:axId val="207881344"/>
        <c:scaling>
          <c:orientation val="minMax"/>
        </c:scaling>
        <c:delete val="0"/>
        <c:axPos val="b"/>
        <c:numFmt formatCode="General" sourceLinked="1"/>
        <c:majorTickMark val="none"/>
        <c:minorTickMark val="none"/>
        <c:tickLblPos val="nextTo"/>
        <c:spPr>
          <a:noFill/>
          <a:ln w="12693"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207882880"/>
        <c:crosses val="autoZero"/>
        <c:auto val="1"/>
        <c:lblAlgn val="ctr"/>
        <c:lblOffset val="100"/>
        <c:noMultiLvlLbl val="0"/>
      </c:catAx>
      <c:valAx>
        <c:axId val="207882880"/>
        <c:scaling>
          <c:orientation val="minMax"/>
          <c:min val="10"/>
        </c:scaling>
        <c:delete val="1"/>
        <c:axPos val="l"/>
        <c:majorGridlines>
          <c:spPr>
            <a:ln w="9520" cap="flat" cmpd="sng" algn="ctr">
              <a:solidFill>
                <a:schemeClr val="tx1">
                  <a:lumMod val="15000"/>
                  <a:lumOff val="85000"/>
                </a:schemeClr>
              </a:solidFill>
              <a:round/>
            </a:ln>
            <a:effectLst/>
          </c:spPr>
        </c:majorGridlines>
        <c:numFmt formatCode="General" sourceLinked="1"/>
        <c:majorTickMark val="out"/>
        <c:minorTickMark val="none"/>
        <c:tickLblPos val="nextTo"/>
        <c:crossAx val="207881344"/>
        <c:crosses val="autoZero"/>
        <c:crossBetween val="between"/>
      </c:valAx>
      <c:spPr>
        <a:noFill/>
        <a:ln w="25386">
          <a:noFill/>
        </a:ln>
      </c:spPr>
    </c:plotArea>
    <c:plotVisOnly val="1"/>
    <c:dispBlanksAs val="gap"/>
    <c:showDLblsOverMax val="0"/>
  </c:chart>
  <c:spPr>
    <a:solidFill>
      <a:schemeClr val="bg1"/>
    </a:solidFill>
    <a:ln w="952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9"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nl-BE" sz="1099" b="0" baseline="0">
                <a:solidFill>
                  <a:srgbClr val="002060"/>
                </a:solidFill>
                <a:latin typeface="Arial" panose="020B0604020202020204" pitchFamily="34" charset="0"/>
                <a:ea typeface="Verdana" panose="020B0604030504040204" pitchFamily="34" charset="0"/>
                <a:cs typeface="Arial" panose="020B0604020202020204" pitchFamily="34" charset="0"/>
              </a:rPr>
              <a:t>13 new </a:t>
            </a:r>
            <a:r>
              <a:rPr lang="nl-BE" sz="1099" b="0">
                <a:solidFill>
                  <a:srgbClr val="002060"/>
                </a:solidFill>
                <a:latin typeface="Arial" panose="020B0604020202020204" pitchFamily="34" charset="0"/>
                <a:ea typeface="Verdana" panose="020B0604030504040204" pitchFamily="34" charset="0"/>
                <a:cs typeface="Arial" panose="020B0604020202020204" pitchFamily="34" charset="0"/>
              </a:rPr>
              <a:t>late transposition infringement cases against </a:t>
            </a:r>
            <a:r>
              <a:rPr lang="en-GB" sz="10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Hungary</a:t>
            </a:r>
            <a:endParaRPr lang="nl-BE"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w="25370">
          <a:noFill/>
        </a:ln>
      </c:spPr>
    </c:title>
    <c:autoTitleDeleted val="0"/>
    <c:plotArea>
      <c:layout>
        <c:manualLayout>
          <c:layoutTarget val="inner"/>
          <c:xMode val="edge"/>
          <c:yMode val="edge"/>
          <c:x val="0.31614720034995625"/>
          <c:y val="0.26226409198850142"/>
          <c:w val="0.3723354111986002"/>
          <c:h val="0.6382892763404574"/>
        </c:manualLayout>
      </c:layout>
      <c:pieChart>
        <c:varyColors val="1"/>
        <c:ser>
          <c:idx val="0"/>
          <c:order val="0"/>
          <c:tx>
            <c:strRef>
              <c:f>Blad1!$B$1</c:f>
              <c:strCache>
                <c:ptCount val="1"/>
                <c:pt idx="0">
                  <c:v>[Number of late transposition cases] late transposition cases against [Member State]</c:v>
                </c:pt>
              </c:strCache>
            </c:strRef>
          </c:tx>
          <c:spPr>
            <a:scene3d>
              <a:camera prst="orthographicFront"/>
              <a:lightRig rig="threePt" dir="t"/>
            </a:scene3d>
            <a:sp3d>
              <a:bevelT w="63500" h="25400"/>
            </a:sp3d>
          </c:spPr>
          <c:dPt>
            <c:idx val="0"/>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6B54-45A4-8135-D3BC1861A9EB}"/>
              </c:ext>
            </c:extLst>
          </c:dPt>
          <c:dPt>
            <c:idx val="1"/>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6B54-45A4-8135-D3BC1861A9EB}"/>
              </c:ext>
            </c:extLst>
          </c:dPt>
          <c:dPt>
            <c:idx val="2"/>
            <c:bubble3D val="0"/>
            <c:spPr>
              <a:solidFill>
                <a:srgbClr val="FF7DF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6B54-45A4-8135-D3BC1861A9EB}"/>
              </c:ext>
            </c:extLst>
          </c:dPt>
          <c:dPt>
            <c:idx val="3"/>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6B54-45A4-8135-D3BC1861A9EB}"/>
              </c:ext>
            </c:extLst>
          </c:dPt>
          <c:dLbls>
            <c:dLbl>
              <c:idx val="0"/>
              <c:layout>
                <c:manualLayout>
                  <c:x val="5.4043292944281384E-3"/>
                  <c:y val="7.8016252696545317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6B54-45A4-8135-D3BC1861A9EB}"/>
                </c:ext>
              </c:extLst>
            </c:dLbl>
            <c:dLbl>
              <c:idx val="1"/>
              <c:layout>
                <c:manualLayout>
                  <c:x val="-3.8563223075376449E-2"/>
                  <c:y val="-4.567755802178270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6B54-45A4-8135-D3BC1861A9EB}"/>
                </c:ext>
              </c:extLst>
            </c:dLbl>
            <c:dLbl>
              <c:idx val="2"/>
              <c:layout>
                <c:manualLayout>
                  <c:x val="7.4831515625764164E-2"/>
                  <c:y val="-6.3446793560253692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6B54-45A4-8135-D3BC1861A9EB}"/>
                </c:ext>
              </c:extLst>
            </c:dLbl>
            <c:dLbl>
              <c:idx val="3"/>
              <c:layout>
                <c:manualLayout>
                  <c:x val="-1.4045635599897839E-2"/>
                  <c:y val="-4.8248909831152993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6B54-45A4-8135-D3BC1861A9EB}"/>
                </c:ext>
              </c:extLst>
            </c:dLbl>
            <c:spPr>
              <a:noFill/>
              <a:ln w="25370">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Blad1!$A$4:$A$7</c:f>
              <c:strCache>
                <c:ptCount val="4"/>
                <c:pt idx="0">
                  <c:v>Mobility and transport</c:v>
                </c:pt>
                <c:pt idx="1">
                  <c:v>Environment</c:v>
                </c:pt>
                <c:pt idx="2">
                  <c:v>Health and food safety</c:v>
                </c:pt>
                <c:pt idx="3">
                  <c:v>Other</c:v>
                </c:pt>
              </c:strCache>
            </c:strRef>
          </c:cat>
          <c:val>
            <c:numRef>
              <c:f>Blad1!$B$4:$B$7</c:f>
              <c:numCache>
                <c:formatCode>General</c:formatCode>
                <c:ptCount val="4"/>
                <c:pt idx="0">
                  <c:v>4</c:v>
                </c:pt>
                <c:pt idx="1">
                  <c:v>4</c:v>
                </c:pt>
                <c:pt idx="2">
                  <c:v>3</c:v>
                </c:pt>
                <c:pt idx="3">
                  <c:v>2</c:v>
                </c:pt>
              </c:numCache>
            </c:numRef>
          </c:val>
          <c:extLst xmlns:c16r2="http://schemas.microsoft.com/office/drawing/2015/06/chart">
            <c:ext xmlns:c16="http://schemas.microsoft.com/office/drawing/2014/chart" uri="{C3380CC4-5D6E-409C-BE32-E72D297353CC}">
              <c16:uniqueId val="{00000008-6B54-45A4-8135-D3BC1861A9EB}"/>
            </c:ext>
          </c:extLst>
        </c:ser>
        <c:dLbls>
          <c:showLegendKey val="0"/>
          <c:showVal val="0"/>
          <c:showCatName val="0"/>
          <c:showSerName val="0"/>
          <c:showPercent val="0"/>
          <c:showBubbleSize val="0"/>
          <c:showLeaderLines val="0"/>
        </c:dLbls>
        <c:firstSliceAng val="250"/>
      </c:pieChart>
      <c:spPr>
        <a:noFill/>
        <a:ln w="25370">
          <a:noFill/>
        </a:ln>
      </c:spPr>
    </c:plotArea>
    <c:plotVisOnly val="1"/>
    <c:dispBlanksAs val="gap"/>
    <c:showDLblsOverMax val="0"/>
  </c:chart>
  <c:spPr>
    <a:solidFill>
      <a:schemeClr val="bg1"/>
    </a:solidFill>
    <a:ln w="951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spPr>
              <a:noFill/>
              <a:ln w="2541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Blad1!$A$3:$A$8</c:f>
              <c:numCache>
                <c:formatCode>General</c:formatCode>
                <c:ptCount val="6"/>
                <c:pt idx="0">
                  <c:v>2013</c:v>
                </c:pt>
                <c:pt idx="1">
                  <c:v>2014</c:v>
                </c:pt>
                <c:pt idx="2">
                  <c:v>2015</c:v>
                </c:pt>
                <c:pt idx="3">
                  <c:v>2016</c:v>
                </c:pt>
                <c:pt idx="4">
                  <c:v>2017</c:v>
                </c:pt>
              </c:numCache>
            </c:numRef>
          </c:cat>
          <c:val>
            <c:numRef>
              <c:f>Blad1!$B$3:$B$8</c:f>
              <c:numCache>
                <c:formatCode>General</c:formatCode>
                <c:ptCount val="6"/>
                <c:pt idx="0">
                  <c:v>15</c:v>
                </c:pt>
                <c:pt idx="1">
                  <c:v>27</c:v>
                </c:pt>
                <c:pt idx="2">
                  <c:v>26</c:v>
                </c:pt>
                <c:pt idx="3">
                  <c:v>28</c:v>
                </c:pt>
                <c:pt idx="4">
                  <c:v>32</c:v>
                </c:pt>
              </c:numCache>
            </c:numRef>
          </c:val>
          <c:smooth val="0"/>
          <c:extLst xmlns:c16r2="http://schemas.microsoft.com/office/drawing/2015/06/chart">
            <c:ext xmlns:c16="http://schemas.microsoft.com/office/drawing/2014/chart" uri="{C3380CC4-5D6E-409C-BE32-E72D297353CC}">
              <c16:uniqueId val="{00000000-07B1-4002-8496-9CDF8EA6DAE6}"/>
            </c:ext>
          </c:extLst>
        </c:ser>
        <c:dLbls>
          <c:showLegendKey val="0"/>
          <c:showVal val="0"/>
          <c:showCatName val="0"/>
          <c:showSerName val="0"/>
          <c:showPercent val="0"/>
          <c:showBubbleSize val="0"/>
        </c:dLbls>
        <c:marker val="1"/>
        <c:smooth val="0"/>
        <c:axId val="209746560"/>
        <c:axId val="209748352"/>
      </c:lineChart>
      <c:catAx>
        <c:axId val="209746560"/>
        <c:scaling>
          <c:orientation val="minMax"/>
        </c:scaling>
        <c:delete val="0"/>
        <c:axPos val="b"/>
        <c:numFmt formatCode="General" sourceLinked="1"/>
        <c:majorTickMark val="none"/>
        <c:minorTickMark val="none"/>
        <c:tickLblPos val="nextTo"/>
        <c:spPr>
          <a:noFill/>
          <a:ln w="1270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209748352"/>
        <c:crosses val="autoZero"/>
        <c:auto val="1"/>
        <c:lblAlgn val="ctr"/>
        <c:lblOffset val="100"/>
        <c:noMultiLvlLbl val="0"/>
      </c:catAx>
      <c:valAx>
        <c:axId val="209748352"/>
        <c:scaling>
          <c:orientation val="minMax"/>
          <c:min val="10"/>
        </c:scaling>
        <c:delete val="1"/>
        <c:axPos val="l"/>
        <c:majorGridlines>
          <c:spPr>
            <a:ln w="9529" cap="flat" cmpd="sng" algn="ctr">
              <a:solidFill>
                <a:schemeClr val="tx1">
                  <a:lumMod val="15000"/>
                  <a:lumOff val="85000"/>
                </a:schemeClr>
              </a:solidFill>
              <a:round/>
            </a:ln>
            <a:effectLst/>
          </c:spPr>
        </c:majorGridlines>
        <c:numFmt formatCode="General" sourceLinked="1"/>
        <c:majorTickMark val="out"/>
        <c:minorTickMark val="none"/>
        <c:tickLblPos val="nextTo"/>
        <c:crossAx val="209746560"/>
        <c:crosses val="autoZero"/>
        <c:crossBetween val="between"/>
      </c:valAx>
      <c:spPr>
        <a:noFill/>
        <a:ln w="25410">
          <a:noFill/>
        </a:ln>
      </c:spPr>
    </c:plotArea>
    <c:plotVisOnly val="1"/>
    <c:dispBlanksAs val="gap"/>
    <c:showDLblsOverMax val="0"/>
  </c:chart>
  <c:spPr>
    <a:solidFill>
      <a:schemeClr val="bg1"/>
    </a:solidFill>
    <a:ln w="952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9" b="0" i="0" u="none" strike="noStrike" kern="1200" baseline="0">
                <a:solidFill>
                  <a:srgbClr val="002060"/>
                </a:solidFill>
                <a:latin typeface="+mn-lt"/>
                <a:ea typeface="+mn-ea"/>
                <a:cs typeface="+mn-cs"/>
              </a:defRPr>
            </a:pPr>
            <a:r>
              <a:rPr lang="en-US" sz="1099" b="0" i="0">
                <a:solidFill>
                  <a:srgbClr val="002060"/>
                </a:solidFill>
                <a:latin typeface="Arial" panose="020B0604020202020204" pitchFamily="34" charset="0"/>
                <a:ea typeface="Verdana" panose="020B0604030504040204" pitchFamily="34" charset="0"/>
                <a:cs typeface="Arial" panose="020B0604020202020204" pitchFamily="34" charset="0"/>
              </a:rPr>
              <a:t>32 complaints made against </a:t>
            </a:r>
            <a:r>
              <a:rPr lang="en-US" sz="10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Malta</a:t>
            </a:r>
            <a:endParaRPr lang="en-US" sz="1100" b="0" i="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w="25387">
          <a:noFill/>
        </a:ln>
      </c:spPr>
    </c:title>
    <c:autoTitleDeleted val="0"/>
    <c:plotArea>
      <c:layout/>
      <c:pieChart>
        <c:varyColors val="1"/>
        <c:ser>
          <c:idx val="0"/>
          <c:order val="0"/>
          <c:tx>
            <c:strRef>
              <c:f>Blad1!$B$1</c:f>
              <c:strCache>
                <c:ptCount val="1"/>
                <c:pt idx="0">
                  <c:v>[Number of new complaints] complaints made against Malta</c:v>
                </c:pt>
              </c:strCache>
            </c:strRef>
          </c:tx>
          <c:spPr>
            <a:scene3d>
              <a:camera prst="orthographicFront"/>
              <a:lightRig rig="threePt" dir="t"/>
            </a:scene3d>
            <a:sp3d>
              <a:bevelT w="63500" h="25400"/>
            </a:sp3d>
          </c:spPr>
          <c:dPt>
            <c:idx val="0"/>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2894-4297-95D7-32784FF740F1}"/>
              </c:ext>
            </c:extLst>
          </c:dPt>
          <c:dPt>
            <c:idx val="1"/>
            <c:bubble3D val="0"/>
            <c:spPr>
              <a:solidFill>
                <a:srgbClr val="FFD617"/>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2894-4297-95D7-32784FF740F1}"/>
              </c:ext>
            </c:extLst>
          </c:dPt>
          <c:dPt>
            <c:idx val="2"/>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2894-4297-95D7-32784FF740F1}"/>
              </c:ext>
            </c:extLst>
          </c:dPt>
          <c:dPt>
            <c:idx val="3"/>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2894-4297-95D7-32784FF740F1}"/>
              </c:ext>
            </c:extLst>
          </c:dPt>
          <c:dPt>
            <c:idx val="4"/>
            <c:bubble3D val="0"/>
            <c:extLst xmlns:c16r2="http://schemas.microsoft.com/office/drawing/2015/06/chart">
              <c:ext xmlns:c16="http://schemas.microsoft.com/office/drawing/2014/chart" uri="{C3380CC4-5D6E-409C-BE32-E72D297353CC}">
                <c16:uniqueId val="{00000008-2894-4297-95D7-32784FF740F1}"/>
              </c:ext>
            </c:extLst>
          </c:dPt>
          <c:dLbls>
            <c:dLbl>
              <c:idx val="0"/>
              <c:layout>
                <c:manualLayout>
                  <c:x val="-0.11546396126682051"/>
                  <c:y val="0.25204129399124581"/>
                </c:manualLayout>
              </c:layout>
              <c:spPr>
                <a:noFill/>
                <a:ln w="25387">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2894-4297-95D7-32784FF740F1}"/>
                </c:ext>
              </c:extLst>
            </c:dLbl>
            <c:dLbl>
              <c:idx val="1"/>
              <c:layout>
                <c:manualLayout>
                  <c:x val="-8.2507587786094638E-3"/>
                  <c:y val="-3.2325201153134545E-2"/>
                </c:manualLayout>
              </c:layout>
              <c:spPr>
                <a:noFill/>
                <a:ln w="25387">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2894-4297-95D7-32784FF740F1}"/>
                </c:ext>
              </c:extLst>
            </c:dLbl>
            <c:dLbl>
              <c:idx val="2"/>
              <c:layout>
                <c:manualLayout>
                  <c:x val="1.8625665618958124E-2"/>
                  <c:y val="2.2135450281829526E-2"/>
                </c:manualLayout>
              </c:layout>
              <c:spPr>
                <a:noFill/>
                <a:ln w="25387">
                  <a:noFill/>
                </a:ln>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2894-4297-95D7-32784FF740F1}"/>
                </c:ext>
              </c:extLst>
            </c:dLbl>
            <c:dLbl>
              <c:idx val="3"/>
              <c:layout>
                <c:manualLayout>
                  <c:x val="-0.13473560862552808"/>
                  <c:y val="-0.12021857923497267"/>
                </c:manualLayout>
              </c:layout>
              <c:spPr>
                <a:noFill/>
                <a:ln w="25387">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2894-4297-95D7-32784FF740F1}"/>
                </c:ext>
              </c:extLst>
            </c:dLbl>
            <c:spPr>
              <a:noFill/>
              <a:ln w="25387">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Blad1!$A$3:$A$6</c:f>
              <c:strCache>
                <c:ptCount val="4"/>
                <c:pt idx="0">
                  <c:v>Justice and consumers</c:v>
                </c:pt>
                <c:pt idx="1">
                  <c:v>Employment</c:v>
                </c:pt>
                <c:pt idx="2">
                  <c:v>Internal market, industry, entrepreneurship and SMEs</c:v>
                </c:pt>
                <c:pt idx="3">
                  <c:v>Other</c:v>
                </c:pt>
              </c:strCache>
            </c:strRef>
          </c:cat>
          <c:val>
            <c:numRef>
              <c:f>Blad1!$B$3:$B$6</c:f>
              <c:numCache>
                <c:formatCode>General</c:formatCode>
                <c:ptCount val="4"/>
                <c:pt idx="0">
                  <c:v>13</c:v>
                </c:pt>
                <c:pt idx="1">
                  <c:v>4</c:v>
                </c:pt>
                <c:pt idx="2">
                  <c:v>3</c:v>
                </c:pt>
                <c:pt idx="3">
                  <c:v>12</c:v>
                </c:pt>
              </c:numCache>
            </c:numRef>
          </c:val>
          <c:extLst xmlns:c16r2="http://schemas.microsoft.com/office/drawing/2015/06/chart">
            <c:ext xmlns:c16="http://schemas.microsoft.com/office/drawing/2014/chart" uri="{C3380CC4-5D6E-409C-BE32-E72D297353CC}">
              <c16:uniqueId val="{00000009-2894-4297-95D7-32784FF740F1}"/>
            </c:ext>
          </c:extLst>
        </c:ser>
        <c:dLbls>
          <c:showLegendKey val="0"/>
          <c:showVal val="0"/>
          <c:showCatName val="0"/>
          <c:showSerName val="0"/>
          <c:showPercent val="0"/>
          <c:showBubbleSize val="0"/>
          <c:showLeaderLines val="0"/>
        </c:dLbls>
        <c:firstSliceAng val="261"/>
      </c:pieChart>
      <c:spPr>
        <a:noFill/>
        <a:ln w="25387">
          <a:noFill/>
        </a:ln>
      </c:spPr>
    </c:plotArea>
    <c:plotVisOnly val="1"/>
    <c:dispBlanksAs val="gap"/>
    <c:showDLblsOverMax val="0"/>
  </c:chart>
  <c:spPr>
    <a:solidFill>
      <a:schemeClr val="bg1"/>
    </a:solidFill>
    <a:ln w="952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1"/>
              <c:layout>
                <c:manualLayout>
                  <c:x val="-5.0433745533052146E-2"/>
                  <c:y val="6.600687845053851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E173-42AC-90CA-7933ED9C4D05}"/>
                </c:ext>
              </c:extLst>
            </c:dLbl>
            <c:dLbl>
              <c:idx val="2"/>
              <c:layout>
                <c:manualLayout>
                  <c:x val="-4.2127292228006381E-2"/>
                  <c:y val="6.021434820647419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E173-42AC-90CA-7933ED9C4D05}"/>
                </c:ext>
              </c:extLst>
            </c:dLbl>
            <c:dLbl>
              <c:idx val="4"/>
              <c:layout>
                <c:manualLayout>
                  <c:x val="-3.3790583391006469E-2"/>
                  <c:y val="5.633303569012636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E173-42AC-90CA-7933ED9C4D05}"/>
                </c:ext>
              </c:extLst>
            </c:dLbl>
            <c:spPr>
              <a:noFill/>
              <a:ln w="25370">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General</c:formatCode>
                <c:ptCount val="5"/>
                <c:pt idx="0">
                  <c:v>45</c:v>
                </c:pt>
                <c:pt idx="1">
                  <c:v>29</c:v>
                </c:pt>
                <c:pt idx="2">
                  <c:v>25</c:v>
                </c:pt>
                <c:pt idx="3">
                  <c:v>21</c:v>
                </c:pt>
                <c:pt idx="4">
                  <c:v>5</c:v>
                </c:pt>
              </c:numCache>
            </c:numRef>
          </c:val>
          <c:smooth val="0"/>
          <c:extLst xmlns:c16r2="http://schemas.microsoft.com/office/drawing/2015/06/chart">
            <c:ext xmlns:c16="http://schemas.microsoft.com/office/drawing/2014/chart" uri="{C3380CC4-5D6E-409C-BE32-E72D297353CC}">
              <c16:uniqueId val="{00000003-E173-42AC-90CA-7933ED9C4D05}"/>
            </c:ext>
          </c:extLst>
        </c:ser>
        <c:dLbls>
          <c:showLegendKey val="0"/>
          <c:showVal val="0"/>
          <c:showCatName val="0"/>
          <c:showSerName val="0"/>
          <c:showPercent val="0"/>
          <c:showBubbleSize val="0"/>
        </c:dLbls>
        <c:marker val="1"/>
        <c:smooth val="0"/>
        <c:axId val="209886592"/>
        <c:axId val="209888384"/>
      </c:lineChart>
      <c:catAx>
        <c:axId val="209886592"/>
        <c:scaling>
          <c:orientation val="minMax"/>
        </c:scaling>
        <c:delete val="0"/>
        <c:axPos val="b"/>
        <c:numFmt formatCode="General" sourceLinked="1"/>
        <c:majorTickMark val="none"/>
        <c:minorTickMark val="none"/>
        <c:tickLblPos val="nextTo"/>
        <c:spPr>
          <a:noFill/>
          <a:ln w="12685"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crossAx val="209888384"/>
        <c:crosses val="autoZero"/>
        <c:auto val="1"/>
        <c:lblAlgn val="ctr"/>
        <c:lblOffset val="100"/>
        <c:noMultiLvlLbl val="0"/>
      </c:catAx>
      <c:valAx>
        <c:axId val="209888384"/>
        <c:scaling>
          <c:orientation val="minMax"/>
        </c:scaling>
        <c:delete val="1"/>
        <c:axPos val="l"/>
        <c:majorGridlines>
          <c:spPr>
            <a:ln w="9514" cap="flat" cmpd="sng" algn="ctr">
              <a:solidFill>
                <a:schemeClr val="tx1">
                  <a:lumMod val="15000"/>
                  <a:lumOff val="85000"/>
                </a:schemeClr>
              </a:solidFill>
              <a:round/>
            </a:ln>
            <a:effectLst/>
          </c:spPr>
        </c:majorGridlines>
        <c:numFmt formatCode="General" sourceLinked="1"/>
        <c:majorTickMark val="out"/>
        <c:minorTickMark val="none"/>
        <c:tickLblPos val="nextTo"/>
        <c:crossAx val="209886592"/>
        <c:crosses val="autoZero"/>
        <c:crossBetween val="between"/>
      </c:valAx>
      <c:spPr>
        <a:noFill/>
        <a:ln w="25370">
          <a:noFill/>
        </a:ln>
      </c:spPr>
    </c:plotArea>
    <c:plotVisOnly val="1"/>
    <c:dispBlanksAs val="gap"/>
    <c:showDLblsOverMax val="0"/>
  </c:chart>
  <c:spPr>
    <a:solidFill>
      <a:schemeClr val="bg1"/>
    </a:solidFill>
    <a:ln w="951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1"/>
              <c:layout>
                <c:manualLayout>
                  <c:x val="-4.2141871569536395E-2"/>
                  <c:y val="5.821433337781929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8A61-4BBC-8BC9-ECE3FB2D38F3}"/>
                </c:ext>
              </c:extLst>
            </c:dLbl>
            <c:dLbl>
              <c:idx val="2"/>
              <c:layout>
                <c:manualLayout>
                  <c:x val="-4.2131860383123748E-2"/>
                  <c:y val="6.177245158544371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8A61-4BBC-8BC9-ECE3FB2D38F3}"/>
                </c:ext>
              </c:extLst>
            </c:dLbl>
            <c:dLbl>
              <c:idx val="4"/>
              <c:layout>
                <c:manualLayout>
                  <c:x val="-3.6554541378845055E-2"/>
                  <c:y val="8.982673618500390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8A61-4BBC-8BC9-ECE3FB2D38F3}"/>
                </c:ext>
              </c:extLst>
            </c:dLbl>
            <c:spPr>
              <a:noFill/>
              <a:ln w="25396">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General</c:formatCode>
                <c:ptCount val="5"/>
                <c:pt idx="0">
                  <c:v>32</c:v>
                </c:pt>
                <c:pt idx="1">
                  <c:v>21</c:v>
                </c:pt>
                <c:pt idx="2">
                  <c:v>23</c:v>
                </c:pt>
                <c:pt idx="3">
                  <c:v>26</c:v>
                </c:pt>
                <c:pt idx="4">
                  <c:v>15</c:v>
                </c:pt>
              </c:numCache>
            </c:numRef>
          </c:val>
          <c:smooth val="0"/>
          <c:extLst xmlns:c16r2="http://schemas.microsoft.com/office/drawing/2015/06/chart">
            <c:ext xmlns:c16="http://schemas.microsoft.com/office/drawing/2014/chart" uri="{C3380CC4-5D6E-409C-BE32-E72D297353CC}">
              <c16:uniqueId val="{00000003-8A61-4BBC-8BC9-ECE3FB2D38F3}"/>
            </c:ext>
          </c:extLst>
        </c:ser>
        <c:dLbls>
          <c:showLegendKey val="0"/>
          <c:showVal val="0"/>
          <c:showCatName val="0"/>
          <c:showSerName val="0"/>
          <c:showPercent val="0"/>
          <c:showBubbleSize val="0"/>
        </c:dLbls>
        <c:marker val="1"/>
        <c:smooth val="0"/>
        <c:axId val="209881728"/>
        <c:axId val="209936768"/>
      </c:lineChart>
      <c:catAx>
        <c:axId val="209881728"/>
        <c:scaling>
          <c:orientation val="minMax"/>
        </c:scaling>
        <c:delete val="0"/>
        <c:axPos val="b"/>
        <c:numFmt formatCode="General" sourceLinked="1"/>
        <c:majorTickMark val="none"/>
        <c:minorTickMark val="none"/>
        <c:tickLblPos val="nextTo"/>
        <c:spPr>
          <a:noFill/>
          <a:ln w="12698"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crossAx val="209936768"/>
        <c:crosses val="autoZero"/>
        <c:auto val="1"/>
        <c:lblAlgn val="ctr"/>
        <c:lblOffset val="100"/>
        <c:noMultiLvlLbl val="0"/>
      </c:catAx>
      <c:valAx>
        <c:axId val="209936768"/>
        <c:scaling>
          <c:orientation val="minMax"/>
        </c:scaling>
        <c:delete val="1"/>
        <c:axPos val="l"/>
        <c:majorGridlines>
          <c:spPr>
            <a:ln w="9524" cap="flat" cmpd="sng" algn="ctr">
              <a:solidFill>
                <a:schemeClr val="tx1">
                  <a:lumMod val="15000"/>
                  <a:lumOff val="85000"/>
                </a:schemeClr>
              </a:solidFill>
              <a:round/>
            </a:ln>
            <a:effectLst/>
          </c:spPr>
        </c:majorGridlines>
        <c:numFmt formatCode="General" sourceLinked="1"/>
        <c:majorTickMark val="out"/>
        <c:minorTickMark val="none"/>
        <c:tickLblPos val="nextTo"/>
        <c:crossAx val="209881728"/>
        <c:crosses val="autoZero"/>
        <c:crossBetween val="between"/>
      </c:valAx>
      <c:spPr>
        <a:noFill/>
        <a:ln w="25396">
          <a:noFill/>
        </a:ln>
      </c:spPr>
    </c:plotArea>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Arial" panose="020B0604020202020204" pitchFamily="34" charset="0"/>
                <a:cs typeface="Arial" panose="020B0604020202020204" pitchFamily="34" charset="0"/>
              </a:defRPr>
            </a:pPr>
            <a:r>
              <a:rPr lang="en-US" sz="1100" b="0" i="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5 EU Pilot files opened against </a:t>
            </a:r>
            <a:r>
              <a:rPr lang="en-US" sz="1100" b="0" i="0" u="none" strike="noStrike" kern="120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Malta</a:t>
            </a:r>
            <a:endParaRPr lang="en-GB" sz="1100">
              <a:solidFill>
                <a:srgbClr val="002060"/>
              </a:solidFill>
              <a:effectLst/>
              <a:latin typeface="Arial" panose="020B0604020202020204" pitchFamily="34" charset="0"/>
              <a:ea typeface="Verdana" panose="020B0604030504040204" pitchFamily="34" charset="0"/>
              <a:cs typeface="Arial" panose="020B0604020202020204" pitchFamily="34" charset="0"/>
            </a:endParaRPr>
          </a:p>
        </c:rich>
      </c:tx>
      <c:overlay val="0"/>
    </c:title>
    <c:autoTitleDeleted val="0"/>
    <c:plotArea>
      <c:layout/>
      <c:pieChart>
        <c:varyColors val="1"/>
        <c:ser>
          <c:idx val="0"/>
          <c:order val="0"/>
          <c:tx>
            <c:strRef>
              <c:f>Blad1!$B$1</c:f>
              <c:strCache>
                <c:ptCount val="1"/>
                <c:pt idx="0">
                  <c:v>[Number of new EU Pilot files ] EU Pilot files opened against [Member State]</c:v>
                </c:pt>
              </c:strCache>
            </c:strRef>
          </c:tx>
          <c:spPr>
            <a:scene3d>
              <a:camera prst="orthographicFront"/>
              <a:lightRig rig="threePt" dir="t"/>
            </a:scene3d>
            <a:sp3d>
              <a:bevelT w="63500" h="25400"/>
            </a:sp3d>
          </c:spPr>
          <c:dPt>
            <c:idx val="0"/>
            <c:bubble3D val="0"/>
            <c:spPr>
              <a:solidFill>
                <a:srgbClr val="37ACDE"/>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5442-441F-834C-AAA98A8A86FF}"/>
              </c:ext>
            </c:extLst>
          </c:dPt>
          <c:dPt>
            <c:idx val="1"/>
            <c:bubble3D val="0"/>
            <c:spPr>
              <a:solidFill>
                <a:srgbClr val="E7511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5442-441F-834C-AAA98A8A86FF}"/>
              </c:ext>
            </c:extLst>
          </c:dPt>
          <c:dPt>
            <c:idx val="2"/>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5442-441F-834C-AAA98A8A86FF}"/>
              </c:ext>
            </c:extLst>
          </c:dPt>
          <c:dPt>
            <c:idx val="3"/>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5442-441F-834C-AAA98A8A86FF}"/>
              </c:ext>
            </c:extLst>
          </c:dPt>
          <c:dPt>
            <c:idx val="4"/>
            <c:bubble3D val="0"/>
            <c:spPr>
              <a:solidFill>
                <a:srgbClr val="FF990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5442-441F-834C-AAA98A8A86FF}"/>
              </c:ext>
            </c:extLst>
          </c:dPt>
          <c:dLbls>
            <c:dLbl>
              <c:idx val="0"/>
              <c:layout>
                <c:manualLayout>
                  <c:x val="6.0156834903833743E-2"/>
                  <c:y val="-0.10256410256410256"/>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5442-441F-834C-AAA98A8A86FF}"/>
                </c:ext>
              </c:extLst>
            </c:dLbl>
            <c:dLbl>
              <c:idx val="1"/>
              <c:layout>
                <c:manualLayout>
                  <c:x val="-1.356073318704017E-2"/>
                  <c:y val="-0.19202413800838997"/>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5442-441F-834C-AAA98A8A86FF}"/>
                </c:ext>
              </c:extLst>
            </c:dLbl>
            <c:dLbl>
              <c:idx val="2"/>
              <c:layout>
                <c:manualLayout>
                  <c:x val="1.5498451400612567E-2"/>
                  <c:y val="0.11052565347139827"/>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5442-441F-834C-AAA98A8A86FF}"/>
                </c:ext>
              </c:extLst>
            </c:dLbl>
            <c:dLbl>
              <c:idx val="3"/>
              <c:layout>
                <c:manualLayout>
                  <c:x val="-8.2217416079568995E-3"/>
                  <c:y val="9.0583189296459896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442-441F-834C-AAA98A8A86FF}"/>
                </c:ext>
              </c:extLst>
            </c:dLbl>
            <c:dLbl>
              <c:idx val="4"/>
              <c:layout>
                <c:manualLayout>
                  <c:x val="1.0239889832849841E-2"/>
                  <c:y val="-4.5731707317073267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442-441F-834C-AAA98A8A86FF}"/>
                </c:ext>
              </c:extLst>
            </c:dLbl>
            <c:dLbl>
              <c:idx val="5"/>
              <c:layout>
                <c:manualLayout>
                  <c:x val="3.5635964912280702E-2"/>
                  <c:y val="0"/>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5442-441F-834C-AAA98A8A86FF}"/>
                </c:ext>
              </c:extLst>
            </c:dLbl>
            <c:dLbl>
              <c:idx val="6"/>
              <c:layout>
                <c:manualLayout>
                  <c:x val="-4.1118421052631582E-2"/>
                  <c:y val="-9.1463414634146339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5442-441F-834C-AAA98A8A86FF}"/>
                </c:ext>
              </c:extLst>
            </c:dLbl>
            <c:spPr>
              <a:noFill/>
              <a:ln w="25398">
                <a:noFill/>
              </a:ln>
            </c:spPr>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Blad1!$A$3:$A$5</c:f>
              <c:strCache>
                <c:ptCount val="3"/>
                <c:pt idx="0">
                  <c:v>Migration and home affairs</c:v>
                </c:pt>
                <c:pt idx="1">
                  <c:v>Energy</c:v>
                </c:pt>
                <c:pt idx="2">
                  <c:v>Climate action</c:v>
                </c:pt>
              </c:strCache>
            </c:strRef>
          </c:cat>
          <c:val>
            <c:numRef>
              <c:f>Blad1!$B$3:$B$5</c:f>
              <c:numCache>
                <c:formatCode>General</c:formatCode>
                <c:ptCount val="3"/>
                <c:pt idx="0">
                  <c:v>1</c:v>
                </c:pt>
                <c:pt idx="1">
                  <c:v>2</c:v>
                </c:pt>
                <c:pt idx="2">
                  <c:v>2</c:v>
                </c:pt>
              </c:numCache>
            </c:numRef>
          </c:val>
          <c:extLst xmlns:c16r2="http://schemas.microsoft.com/office/drawing/2015/06/chart">
            <c:ext xmlns:c16="http://schemas.microsoft.com/office/drawing/2014/chart" uri="{C3380CC4-5D6E-409C-BE32-E72D297353CC}">
              <c16:uniqueId val="{0000000C-5442-441F-834C-AAA98A8A86FF}"/>
            </c:ext>
          </c:extLst>
        </c:ser>
        <c:dLbls>
          <c:showLegendKey val="0"/>
          <c:showVal val="0"/>
          <c:showCatName val="0"/>
          <c:showSerName val="0"/>
          <c:showPercent val="0"/>
          <c:showBubbleSize val="0"/>
          <c:showLeaderLines val="0"/>
        </c:dLbls>
        <c:firstSliceAng val="109"/>
      </c:pieChart>
      <c:spPr>
        <a:noFill/>
        <a:ln w="25398">
          <a:noFill/>
        </a:ln>
      </c:spPr>
    </c:plotArea>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Blad1!$B$2</c:f>
              <c:strCache>
                <c:ptCount val="1"/>
                <c:pt idx="0">
                  <c:v>Malta</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5.5065007421336014E-2"/>
                  <c:y val="-6.448545861297540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CA7C-41BA-BC27-148B3473748C}"/>
                </c:ext>
              </c:extLst>
            </c:dLbl>
            <c:dLbl>
              <c:idx val="1"/>
              <c:layout>
                <c:manualLayout>
                  <c:x val="-5.5451961539633415E-2"/>
                  <c:y val="-6.448545861297534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CA7C-41BA-BC27-148B3473748C}"/>
                </c:ext>
              </c:extLst>
            </c:dLbl>
            <c:dLbl>
              <c:idx val="2"/>
              <c:layout>
                <c:manualLayout>
                  <c:x val="-4.6673560558952366E-2"/>
                  <c:y val="-7.550853307679748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CA7C-41BA-BC27-148B3473748C}"/>
                </c:ext>
              </c:extLst>
            </c:dLbl>
            <c:dLbl>
              <c:idx val="3"/>
              <c:layout>
                <c:manualLayout>
                  <c:x val="-4.8189830837757575E-2"/>
                  <c:y val="-5.990511737262696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CA7C-41BA-BC27-148B3473748C}"/>
                </c:ext>
              </c:extLst>
            </c:dLbl>
            <c:dLbl>
              <c:idx val="4"/>
              <c:layout>
                <c:manualLayout>
                  <c:x val="-4.992404556395625E-2"/>
                  <c:y val="-5.889261744966448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CA7C-41BA-BC27-148B3473748C}"/>
                </c:ext>
              </c:extLst>
            </c:dLbl>
            <c:spPr>
              <a:noFill/>
              <a:ln w="25417">
                <a:noFill/>
              </a:ln>
            </c:spPr>
            <c:txPr>
              <a:bodyPr/>
              <a:lstStyle/>
              <a:p>
                <a:pPr>
                  <a:defRPr sz="901">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0%</c:formatCode>
                <c:ptCount val="5"/>
                <c:pt idx="0">
                  <c:v>0.83</c:v>
                </c:pt>
                <c:pt idx="1">
                  <c:v>0.88</c:v>
                </c:pt>
                <c:pt idx="2">
                  <c:v>0.83</c:v>
                </c:pt>
                <c:pt idx="3">
                  <c:v>0.74</c:v>
                </c:pt>
                <c:pt idx="4">
                  <c:v>0.93</c:v>
                </c:pt>
              </c:numCache>
            </c:numRef>
          </c:val>
          <c:smooth val="0"/>
          <c:extLst xmlns:c16r2="http://schemas.microsoft.com/office/drawing/2015/06/chart">
            <c:ext xmlns:c16="http://schemas.microsoft.com/office/drawing/2014/chart" uri="{C3380CC4-5D6E-409C-BE32-E72D297353CC}">
              <c16:uniqueId val="{00000005-CA7C-41BA-BC27-148B3473748C}"/>
            </c:ext>
          </c:extLst>
        </c:ser>
        <c:ser>
          <c:idx val="1"/>
          <c:order val="1"/>
          <c:tx>
            <c:strRef>
              <c:f>Blad1!$C$2</c:f>
              <c:strCache>
                <c:ptCount val="1"/>
                <c:pt idx="0">
                  <c:v>General rate for all Member States</c:v>
                </c:pt>
              </c:strCache>
            </c:strRef>
          </c:tx>
          <c:spPr>
            <a:ln w="25417">
              <a:solidFill>
                <a:srgbClr val="92D050"/>
              </a:solidFill>
            </a:ln>
          </c:spPr>
          <c:marker>
            <c:symbol val="square"/>
            <c:size val="5"/>
            <c:spPr>
              <a:solidFill>
                <a:srgbClr val="92D050"/>
              </a:solidFill>
              <a:ln>
                <a:solidFill>
                  <a:srgbClr val="92D050"/>
                </a:solidFill>
              </a:ln>
            </c:spPr>
          </c:marker>
          <c:dLbls>
            <c:dLbl>
              <c:idx val="1"/>
              <c:layout>
                <c:manualLayout>
                  <c:x val="-4.992404556395625E-2"/>
                  <c:y val="7.007829977628635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CA7C-41BA-BC27-148B3473748C}"/>
                </c:ext>
              </c:extLst>
            </c:dLbl>
            <c:dLbl>
              <c:idx val="2"/>
              <c:layout>
                <c:manualLayout>
                  <c:x val="-4.7160087576117664E-2"/>
                  <c:y val="6.448545861297538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CA7C-41BA-BC27-148B3473748C}"/>
                </c:ext>
              </c:extLst>
            </c:dLbl>
            <c:dLbl>
              <c:idx val="3"/>
              <c:layout>
                <c:manualLayout>
                  <c:x val="-5.2688003551794829E-2"/>
                  <c:y val="9.804250559284105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CA7C-41BA-BC27-148B3473748C}"/>
                </c:ext>
              </c:extLst>
            </c:dLbl>
            <c:dLbl>
              <c:idx val="4"/>
              <c:layout>
                <c:manualLayout>
                  <c:x val="-4.992404556395625E-2"/>
                  <c:y val="6.448545861297538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CA7C-41BA-BC27-148B3473748C}"/>
                </c:ext>
              </c:extLst>
            </c:dLbl>
            <c:spPr>
              <a:noFill/>
              <a:ln w="25417">
                <a:noFill/>
              </a:ln>
            </c:spPr>
            <c:txPr>
              <a:bodyPr/>
              <a:lstStyle/>
              <a:p>
                <a:pPr>
                  <a:defRPr sz="901">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2013</c:v>
                </c:pt>
                <c:pt idx="1">
                  <c:v>2014</c:v>
                </c:pt>
                <c:pt idx="2">
                  <c:v>2015</c:v>
                </c:pt>
                <c:pt idx="3">
                  <c:v>2016</c:v>
                </c:pt>
                <c:pt idx="4">
                  <c:v>2017</c:v>
                </c:pt>
              </c:numCache>
            </c:numRef>
          </c:cat>
          <c:val>
            <c:numRef>
              <c:f>Blad1!$C$3:$C$7</c:f>
              <c:numCache>
                <c:formatCode>0%</c:formatCode>
                <c:ptCount val="5"/>
                <c:pt idx="0">
                  <c:v>0.7</c:v>
                </c:pt>
                <c:pt idx="1">
                  <c:v>0.75</c:v>
                </c:pt>
                <c:pt idx="2">
                  <c:v>0.75</c:v>
                </c:pt>
                <c:pt idx="3">
                  <c:v>0.72</c:v>
                </c:pt>
                <c:pt idx="4">
                  <c:v>0.77</c:v>
                </c:pt>
              </c:numCache>
            </c:numRef>
          </c:val>
          <c:smooth val="0"/>
          <c:extLst xmlns:c16r2="http://schemas.microsoft.com/office/drawing/2015/06/chart">
            <c:ext xmlns:c16="http://schemas.microsoft.com/office/drawing/2014/chart" uri="{C3380CC4-5D6E-409C-BE32-E72D297353CC}">
              <c16:uniqueId val="{0000000A-CA7C-41BA-BC27-148B3473748C}"/>
            </c:ext>
          </c:extLst>
        </c:ser>
        <c:dLbls>
          <c:showLegendKey val="0"/>
          <c:showVal val="0"/>
          <c:showCatName val="0"/>
          <c:showSerName val="0"/>
          <c:showPercent val="0"/>
          <c:showBubbleSize val="0"/>
        </c:dLbls>
        <c:marker val="1"/>
        <c:smooth val="0"/>
        <c:axId val="210042880"/>
        <c:axId val="210044416"/>
      </c:lineChart>
      <c:catAx>
        <c:axId val="210042880"/>
        <c:scaling>
          <c:orientation val="minMax"/>
        </c:scaling>
        <c:delete val="0"/>
        <c:axPos val="b"/>
        <c:numFmt formatCode="General" sourceLinked="1"/>
        <c:majorTickMark val="none"/>
        <c:minorTickMark val="none"/>
        <c:tickLblPos val="nextTo"/>
        <c:spPr>
          <a:noFill/>
          <a:ln w="12708" cap="flat" cmpd="sng" algn="ctr">
            <a:solidFill>
              <a:schemeClr val="tx1">
                <a:lumMod val="15000"/>
                <a:lumOff val="85000"/>
              </a:schemeClr>
            </a:solidFill>
            <a:round/>
          </a:ln>
          <a:effectLst/>
        </c:spPr>
        <c:txPr>
          <a:bodyPr rot="-60000000" spcFirstLastPara="1" vertOverflow="ellipsis" vert="horz" wrap="square" anchor="ctr" anchorCtr="1"/>
          <a:lstStyle/>
          <a:p>
            <a:pPr>
              <a:defRPr sz="901"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210044416"/>
        <c:crosses val="autoZero"/>
        <c:auto val="1"/>
        <c:lblAlgn val="ctr"/>
        <c:lblOffset val="100"/>
        <c:noMultiLvlLbl val="0"/>
      </c:catAx>
      <c:valAx>
        <c:axId val="210044416"/>
        <c:scaling>
          <c:orientation val="minMax"/>
          <c:min val="0.5"/>
        </c:scaling>
        <c:delete val="1"/>
        <c:axPos val="l"/>
        <c:majorGridlines>
          <c:spPr>
            <a:ln w="9531" cap="flat" cmpd="sng" algn="ctr">
              <a:solidFill>
                <a:schemeClr val="tx1">
                  <a:lumMod val="15000"/>
                  <a:lumOff val="85000"/>
                </a:schemeClr>
              </a:solidFill>
              <a:round/>
            </a:ln>
            <a:effectLst/>
          </c:spPr>
        </c:majorGridlines>
        <c:numFmt formatCode="0%" sourceLinked="1"/>
        <c:majorTickMark val="out"/>
        <c:minorTickMark val="none"/>
        <c:tickLblPos val="nextTo"/>
        <c:crossAx val="210042880"/>
        <c:crosses val="autoZero"/>
        <c:crossBetween val="between"/>
      </c:valAx>
      <c:spPr>
        <a:noFill/>
        <a:ln w="25417">
          <a:noFill/>
        </a:ln>
      </c:spPr>
    </c:plotArea>
    <c:legend>
      <c:legendPos val="b"/>
      <c:overlay val="0"/>
      <c:txPr>
        <a:bodyPr/>
        <a:lstStyle/>
        <a:p>
          <a:pPr>
            <a:defRPr sz="901">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3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Lbls>
            <c:dLbl>
              <c:idx val="1"/>
              <c:layout>
                <c:manualLayout>
                  <c:x val="-5.8814268432752059E-2"/>
                  <c:y val="6.215079279473627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CBD2-405A-9869-DB830DB7102D}"/>
                </c:ext>
              </c:extLst>
            </c:dLbl>
            <c:spPr>
              <a:noFill/>
              <a:ln w="25368">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Blad1!$A$4:$A$8</c:f>
              <c:numCache>
                <c:formatCode>General</c:formatCode>
                <c:ptCount val="5"/>
                <c:pt idx="0">
                  <c:v>2013</c:v>
                </c:pt>
                <c:pt idx="1">
                  <c:v>2014</c:v>
                </c:pt>
                <c:pt idx="2">
                  <c:v>2015</c:v>
                </c:pt>
                <c:pt idx="3">
                  <c:v>2016</c:v>
                </c:pt>
                <c:pt idx="4">
                  <c:v>2017</c:v>
                </c:pt>
              </c:numCache>
            </c:numRef>
          </c:cat>
          <c:val>
            <c:numRef>
              <c:f>Blad1!$B$4:$B$8</c:f>
              <c:numCache>
                <c:formatCode>General</c:formatCode>
                <c:ptCount val="5"/>
                <c:pt idx="0">
                  <c:v>21</c:v>
                </c:pt>
                <c:pt idx="1">
                  <c:v>18</c:v>
                </c:pt>
                <c:pt idx="2">
                  <c:v>24</c:v>
                </c:pt>
                <c:pt idx="3">
                  <c:v>31</c:v>
                </c:pt>
                <c:pt idx="4">
                  <c:v>33</c:v>
                </c:pt>
              </c:numCache>
            </c:numRef>
          </c:val>
          <c:smooth val="0"/>
          <c:extLst xmlns:c16r2="http://schemas.microsoft.com/office/drawing/2015/06/chart">
            <c:ext xmlns:c16="http://schemas.microsoft.com/office/drawing/2014/chart" uri="{C3380CC4-5D6E-409C-BE32-E72D297353CC}">
              <c16:uniqueId val="{00000001-CBD2-405A-9869-DB830DB7102D}"/>
            </c:ext>
          </c:extLst>
        </c:ser>
        <c:dLbls>
          <c:showLegendKey val="0"/>
          <c:showVal val="0"/>
          <c:showCatName val="0"/>
          <c:showSerName val="0"/>
          <c:showPercent val="0"/>
          <c:showBubbleSize val="0"/>
        </c:dLbls>
        <c:marker val="1"/>
        <c:smooth val="0"/>
        <c:axId val="210066048"/>
        <c:axId val="210076032"/>
      </c:lineChart>
      <c:catAx>
        <c:axId val="210066048"/>
        <c:scaling>
          <c:orientation val="minMax"/>
        </c:scaling>
        <c:delete val="0"/>
        <c:axPos val="b"/>
        <c:numFmt formatCode="General" sourceLinked="1"/>
        <c:majorTickMark val="none"/>
        <c:minorTickMark val="none"/>
        <c:tickLblPos val="nextTo"/>
        <c:spPr>
          <a:noFill/>
          <a:ln w="12684"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210076032"/>
        <c:crosses val="autoZero"/>
        <c:auto val="1"/>
        <c:lblAlgn val="ctr"/>
        <c:lblOffset val="100"/>
        <c:noMultiLvlLbl val="0"/>
      </c:catAx>
      <c:valAx>
        <c:axId val="210076032"/>
        <c:scaling>
          <c:orientation val="minMax"/>
          <c:min val="10"/>
        </c:scaling>
        <c:delete val="1"/>
        <c:axPos val="l"/>
        <c:majorGridlines>
          <c:spPr>
            <a:ln w="9513" cap="flat" cmpd="sng" algn="ctr">
              <a:solidFill>
                <a:schemeClr val="tx1">
                  <a:lumMod val="15000"/>
                  <a:lumOff val="85000"/>
                </a:schemeClr>
              </a:solidFill>
              <a:round/>
            </a:ln>
            <a:effectLst/>
          </c:spPr>
        </c:majorGridlines>
        <c:numFmt formatCode="General" sourceLinked="1"/>
        <c:majorTickMark val="out"/>
        <c:minorTickMark val="none"/>
        <c:tickLblPos val="nextTo"/>
        <c:crossAx val="210066048"/>
        <c:crosses val="autoZero"/>
        <c:crossBetween val="between"/>
      </c:valAx>
      <c:spPr>
        <a:noFill/>
        <a:ln w="25368">
          <a:noFill/>
        </a:ln>
      </c:spPr>
    </c:plotArea>
    <c:plotVisOnly val="1"/>
    <c:dispBlanksAs val="gap"/>
    <c:showDLblsOverMax val="0"/>
  </c:chart>
  <c:spPr>
    <a:solidFill>
      <a:schemeClr val="bg1"/>
    </a:solidFill>
    <a:ln w="9513"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1"/>
              <c:layout>
                <c:manualLayout>
                  <c:x val="-4.220737955019304E-2"/>
                  <c:y val="6.229766361172066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A792-48DA-99CC-AE05BB98A76B}"/>
                </c:ext>
              </c:extLst>
            </c:dLbl>
            <c:dLbl>
              <c:idx val="2"/>
              <c:layout>
                <c:manualLayout>
                  <c:x val="-5.0496766107231604E-2"/>
                  <c:y val="6.444609027831922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A792-48DA-99CC-AE05BB98A76B}"/>
                </c:ext>
              </c:extLst>
            </c:dLbl>
            <c:spPr>
              <a:noFill/>
              <a:ln w="25387">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General</c:formatCode>
                <c:ptCount val="5"/>
                <c:pt idx="0">
                  <c:v>46</c:v>
                </c:pt>
                <c:pt idx="1">
                  <c:v>33</c:v>
                </c:pt>
                <c:pt idx="2">
                  <c:v>24</c:v>
                </c:pt>
                <c:pt idx="3">
                  <c:v>24</c:v>
                </c:pt>
                <c:pt idx="4">
                  <c:v>5</c:v>
                </c:pt>
              </c:numCache>
            </c:numRef>
          </c:val>
          <c:smooth val="0"/>
          <c:extLst xmlns:c16r2="http://schemas.microsoft.com/office/drawing/2015/06/chart">
            <c:ext xmlns:c16="http://schemas.microsoft.com/office/drawing/2014/chart" uri="{C3380CC4-5D6E-409C-BE32-E72D297353CC}">
              <c16:uniqueId val="{00000002-A792-48DA-99CC-AE05BB98A76B}"/>
            </c:ext>
          </c:extLst>
        </c:ser>
        <c:dLbls>
          <c:showLegendKey val="0"/>
          <c:showVal val="0"/>
          <c:showCatName val="0"/>
          <c:showSerName val="0"/>
          <c:showPercent val="0"/>
          <c:showBubbleSize val="0"/>
        </c:dLbls>
        <c:marker val="1"/>
        <c:smooth val="0"/>
        <c:axId val="343320448"/>
        <c:axId val="518201344"/>
      </c:lineChart>
      <c:catAx>
        <c:axId val="343320448"/>
        <c:scaling>
          <c:orientation val="minMax"/>
        </c:scaling>
        <c:delete val="0"/>
        <c:axPos val="b"/>
        <c:numFmt formatCode="General" sourceLinked="1"/>
        <c:majorTickMark val="none"/>
        <c:minorTickMark val="none"/>
        <c:tickLblPos val="nextTo"/>
        <c:spPr>
          <a:noFill/>
          <a:ln w="12693"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518201344"/>
        <c:crosses val="autoZero"/>
        <c:auto val="1"/>
        <c:lblAlgn val="ctr"/>
        <c:lblOffset val="100"/>
        <c:noMultiLvlLbl val="0"/>
      </c:catAx>
      <c:valAx>
        <c:axId val="518201344"/>
        <c:scaling>
          <c:orientation val="minMax"/>
        </c:scaling>
        <c:delete val="1"/>
        <c:axPos val="l"/>
        <c:majorGridlines>
          <c:spPr>
            <a:ln w="9520" cap="flat" cmpd="sng" algn="ctr">
              <a:solidFill>
                <a:schemeClr val="tx1">
                  <a:lumMod val="15000"/>
                  <a:lumOff val="85000"/>
                </a:schemeClr>
              </a:solidFill>
              <a:round/>
            </a:ln>
            <a:effectLst/>
          </c:spPr>
        </c:majorGridlines>
        <c:numFmt formatCode="General" sourceLinked="1"/>
        <c:majorTickMark val="out"/>
        <c:minorTickMark val="none"/>
        <c:tickLblPos val="nextTo"/>
        <c:crossAx val="343320448"/>
        <c:crosses val="autoZero"/>
        <c:crossBetween val="between"/>
      </c:valAx>
      <c:spPr>
        <a:noFill/>
        <a:ln w="25387">
          <a:noFill/>
        </a:ln>
      </c:spPr>
    </c:plotArea>
    <c:plotVisOnly val="1"/>
    <c:dispBlanksAs val="gap"/>
    <c:showDLblsOverMax val="0"/>
  </c:chart>
  <c:spPr>
    <a:solidFill>
      <a:schemeClr val="bg1"/>
    </a:solidFill>
    <a:ln w="952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7"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US" sz="1097" b="0" baseline="0">
                <a:solidFill>
                  <a:srgbClr val="002060"/>
                </a:solidFill>
                <a:latin typeface="Arial" panose="020B0604020202020204" pitchFamily="34" charset="0"/>
                <a:ea typeface="Verdana" panose="020B0604030504040204" pitchFamily="34" charset="0"/>
                <a:cs typeface="Arial" panose="020B0604020202020204" pitchFamily="34" charset="0"/>
              </a:rPr>
              <a:t>20 new </a:t>
            </a:r>
            <a:r>
              <a:rPr lang="en-US" sz="1097"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against</a:t>
            </a:r>
            <a:r>
              <a:rPr lang="en-US" sz="1097" b="0" baseline="0">
                <a:solidFill>
                  <a:srgbClr val="002060"/>
                </a:solidFill>
                <a:latin typeface="Arial" panose="020B0604020202020204" pitchFamily="34" charset="0"/>
                <a:ea typeface="Verdana" panose="020B0604030504040204" pitchFamily="34" charset="0"/>
                <a:cs typeface="Arial" panose="020B0604020202020204" pitchFamily="34" charset="0"/>
              </a:rPr>
              <a:t> </a:t>
            </a:r>
            <a:r>
              <a:rPr lang="en-US" sz="1097"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Malta</a:t>
            </a:r>
            <a:endParaRPr lang="en-US"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6218115768277933"/>
          <c:y val="3.2786938397406207E-2"/>
        </c:manualLayout>
      </c:layout>
      <c:overlay val="0"/>
      <c:spPr>
        <a:noFill/>
        <a:ln w="25321">
          <a:noFill/>
        </a:ln>
      </c:spPr>
    </c:title>
    <c:autoTitleDeleted val="0"/>
    <c:plotArea>
      <c:layout/>
      <c:pieChart>
        <c:varyColors val="1"/>
        <c:ser>
          <c:idx val="0"/>
          <c:order val="0"/>
          <c:tx>
            <c:strRef>
              <c:f>Blad1!$B$1</c:f>
              <c:strCache>
                <c:ptCount val="1"/>
                <c:pt idx="0">
                  <c:v>[Number of infringement cases] infringement cases against Austria</c:v>
                </c:pt>
              </c:strCache>
            </c:strRef>
          </c:tx>
          <c:spPr>
            <a:scene3d>
              <a:camera prst="orthographicFront"/>
              <a:lightRig rig="threePt" dir="t"/>
            </a:scene3d>
            <a:sp3d>
              <a:bevelT w="63500" h="25400"/>
            </a:sp3d>
          </c:spPr>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D001-408A-802D-8CD65A2C5455}"/>
              </c:ext>
            </c:extLst>
          </c:dPt>
          <c:dPt>
            <c:idx val="1"/>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D001-408A-802D-8CD65A2C5455}"/>
              </c:ext>
            </c:extLst>
          </c:dPt>
          <c:dPt>
            <c:idx val="2"/>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D001-408A-802D-8CD65A2C5455}"/>
              </c:ext>
            </c:extLst>
          </c:dPt>
          <c:dPt>
            <c:idx val="3"/>
            <c:bubble3D val="0"/>
            <c:spPr>
              <a:solidFill>
                <a:srgbClr val="FF7DF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D001-408A-802D-8CD65A2C5455}"/>
              </c:ext>
            </c:extLst>
          </c:dPt>
          <c:dPt>
            <c:idx val="4"/>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D001-408A-802D-8CD65A2C5455}"/>
              </c:ext>
            </c:extLst>
          </c:dPt>
          <c:dPt>
            <c:idx val="5"/>
            <c:bubble3D val="0"/>
            <c:extLst xmlns:c16r2="http://schemas.microsoft.com/office/drawing/2015/06/chart">
              <c:ext xmlns:c16="http://schemas.microsoft.com/office/drawing/2014/chart" uri="{C3380CC4-5D6E-409C-BE32-E72D297353CC}">
                <c16:uniqueId val="{0000000A-D001-408A-802D-8CD65A2C5455}"/>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001-408A-802D-8CD65A2C5455}"/>
                </c:ext>
              </c:extLst>
            </c:dLbl>
            <c:dLbl>
              <c:idx val="1"/>
              <c:layout>
                <c:manualLayout>
                  <c:x val="-5.7314416989635762E-2"/>
                  <c:y val="9.3395613683882731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D001-408A-802D-8CD65A2C5455}"/>
                </c:ext>
              </c:extLst>
            </c:dLbl>
            <c:dLbl>
              <c:idx val="2"/>
              <c:layout>
                <c:manualLayout>
                  <c:x val="-1.3489203153088452E-2"/>
                  <c:y val="0.1586804116590689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D001-408A-802D-8CD65A2C5455}"/>
                </c:ext>
              </c:extLst>
            </c:dLbl>
            <c:dLbl>
              <c:idx val="3"/>
              <c:layout>
                <c:manualLayout>
                  <c:x val="2.548782770312915E-2"/>
                  <c:y val="-2.0717640558088134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D001-408A-802D-8CD65A2C5455}"/>
                </c:ext>
              </c:extLst>
            </c:dLbl>
            <c:dLbl>
              <c:idx val="4"/>
              <c:layout>
                <c:manualLayout>
                  <c:x val="-9.9912199171094701E-2"/>
                  <c:y val="-0.2256617287245874"/>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D001-408A-802D-8CD65A2C5455}"/>
                </c:ext>
              </c:extLst>
            </c:dLbl>
            <c:spPr>
              <a:noFill/>
              <a:ln w="25321">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Blad1!$A$2:$A$6</c:f>
              <c:strCache>
                <c:ptCount val="5"/>
                <c:pt idx="0">
                  <c:v>Policy Area</c:v>
                </c:pt>
                <c:pt idx="1">
                  <c:v>Environment</c:v>
                </c:pt>
                <c:pt idx="2">
                  <c:v>Financial stability, financial services and Capital Markets Union</c:v>
                </c:pt>
                <c:pt idx="3">
                  <c:v>Health and food safety</c:v>
                </c:pt>
                <c:pt idx="4">
                  <c:v>Other</c:v>
                </c:pt>
              </c:strCache>
            </c:strRef>
          </c:cat>
          <c:val>
            <c:numRef>
              <c:f>Blad1!$B$2:$B$6</c:f>
              <c:numCache>
                <c:formatCode>General</c:formatCode>
                <c:ptCount val="5"/>
                <c:pt idx="0">
                  <c:v>0</c:v>
                </c:pt>
                <c:pt idx="1">
                  <c:v>6</c:v>
                </c:pt>
                <c:pt idx="2">
                  <c:v>3</c:v>
                </c:pt>
                <c:pt idx="3">
                  <c:v>3</c:v>
                </c:pt>
                <c:pt idx="4">
                  <c:v>8</c:v>
                </c:pt>
              </c:numCache>
            </c:numRef>
          </c:val>
          <c:extLst xmlns:c16r2="http://schemas.microsoft.com/office/drawing/2015/06/chart">
            <c:ext xmlns:c16="http://schemas.microsoft.com/office/drawing/2014/chart" uri="{C3380CC4-5D6E-409C-BE32-E72D297353CC}">
              <c16:uniqueId val="{0000000B-D001-408A-802D-8CD65A2C5455}"/>
            </c:ext>
          </c:extLst>
        </c:ser>
        <c:dLbls>
          <c:showLegendKey val="0"/>
          <c:showVal val="0"/>
          <c:showCatName val="0"/>
          <c:showSerName val="0"/>
          <c:showPercent val="0"/>
          <c:showBubbleSize val="0"/>
          <c:showLeaderLines val="0"/>
        </c:dLbls>
        <c:firstSliceAng val="281"/>
      </c:pieChart>
      <c:spPr>
        <a:noFill/>
        <a:ln w="25321">
          <a:noFill/>
        </a:ln>
      </c:spPr>
    </c:plotArea>
    <c:plotVisOnly val="1"/>
    <c:dispBlanksAs val="gap"/>
    <c:showDLblsOverMax val="0"/>
  </c:chart>
  <c:spPr>
    <a:solidFill>
      <a:schemeClr val="bg1"/>
    </a:solidFill>
    <a:ln w="949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0"/>
              <c:layout>
                <c:manualLayout>
                  <c:x val="-4.2419175027870681E-2"/>
                  <c:y val="-5.484375000000000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50F6-40E6-88D9-02F599BC943F}"/>
                </c:ext>
              </c:extLst>
            </c:dLbl>
            <c:dLbl>
              <c:idx val="4"/>
              <c:layout>
                <c:manualLayout>
                  <c:x val="-4.520624303233009E-2"/>
                  <c:y val="-5.484374999999999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50F6-40E6-88D9-02F599BC943F}"/>
                </c:ext>
              </c:extLst>
            </c:dLbl>
            <c:spPr>
              <a:noFill/>
              <a:ln w="25384">
                <a:noFill/>
              </a:ln>
            </c:spPr>
            <c:txPr>
              <a:bodyPr/>
              <a:lstStyle/>
              <a:p>
                <a:pPr>
                  <a:defRPr sz="899">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Blad1!$A$2:$A$6</c:f>
              <c:numCache>
                <c:formatCode>General</c:formatCode>
                <c:ptCount val="5"/>
                <c:pt idx="0">
                  <c:v>2013</c:v>
                </c:pt>
                <c:pt idx="1">
                  <c:v>2014</c:v>
                </c:pt>
                <c:pt idx="2">
                  <c:v>2015</c:v>
                </c:pt>
                <c:pt idx="3">
                  <c:v>2016</c:v>
                </c:pt>
                <c:pt idx="4">
                  <c:v>2017</c:v>
                </c:pt>
              </c:numCache>
            </c:numRef>
          </c:cat>
          <c:val>
            <c:numRef>
              <c:f>Blad1!$B$2:$B$6</c:f>
              <c:numCache>
                <c:formatCode>General</c:formatCode>
                <c:ptCount val="5"/>
                <c:pt idx="0">
                  <c:v>7</c:v>
                </c:pt>
                <c:pt idx="1">
                  <c:v>5</c:v>
                </c:pt>
                <c:pt idx="2">
                  <c:v>13</c:v>
                </c:pt>
                <c:pt idx="3">
                  <c:v>23</c:v>
                </c:pt>
                <c:pt idx="4">
                  <c:v>23</c:v>
                </c:pt>
              </c:numCache>
            </c:numRef>
          </c:val>
          <c:smooth val="0"/>
          <c:extLst xmlns:c16r2="http://schemas.microsoft.com/office/drawing/2015/06/chart">
            <c:ext xmlns:c16="http://schemas.microsoft.com/office/drawing/2014/chart" uri="{C3380CC4-5D6E-409C-BE32-E72D297353CC}">
              <c16:uniqueId val="{00000002-50F6-40E6-88D9-02F599BC943F}"/>
            </c:ext>
          </c:extLst>
        </c:ser>
        <c:dLbls>
          <c:showLegendKey val="0"/>
          <c:showVal val="0"/>
          <c:showCatName val="0"/>
          <c:showSerName val="0"/>
          <c:showPercent val="0"/>
          <c:showBubbleSize val="0"/>
        </c:dLbls>
        <c:marker val="1"/>
        <c:smooth val="0"/>
        <c:axId val="210155776"/>
        <c:axId val="210169856"/>
      </c:lineChart>
      <c:catAx>
        <c:axId val="210155776"/>
        <c:scaling>
          <c:orientation val="minMax"/>
        </c:scaling>
        <c:delete val="0"/>
        <c:axPos val="b"/>
        <c:numFmt formatCode="General" sourceLinked="1"/>
        <c:majorTickMark val="none"/>
        <c:minorTickMark val="none"/>
        <c:tickLblPos val="nextTo"/>
        <c:spPr>
          <a:noFill/>
          <a:ln w="12692"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210169856"/>
        <c:crosses val="autoZero"/>
        <c:auto val="1"/>
        <c:lblAlgn val="ctr"/>
        <c:lblOffset val="100"/>
        <c:noMultiLvlLbl val="0"/>
      </c:catAx>
      <c:valAx>
        <c:axId val="210169856"/>
        <c:scaling>
          <c:orientation val="minMax"/>
        </c:scaling>
        <c:delete val="1"/>
        <c:axPos val="l"/>
        <c:majorGridlines>
          <c:spPr>
            <a:ln w="9519" cap="flat" cmpd="sng" algn="ctr">
              <a:solidFill>
                <a:schemeClr val="tx1">
                  <a:lumMod val="15000"/>
                  <a:lumOff val="85000"/>
                </a:schemeClr>
              </a:solidFill>
              <a:round/>
            </a:ln>
            <a:effectLst/>
          </c:spPr>
        </c:majorGridlines>
        <c:numFmt formatCode="General" sourceLinked="1"/>
        <c:majorTickMark val="out"/>
        <c:minorTickMark val="none"/>
        <c:tickLblPos val="nextTo"/>
        <c:crossAx val="210155776"/>
        <c:crosses val="autoZero"/>
        <c:crossBetween val="between"/>
      </c:valAx>
      <c:spPr>
        <a:noFill/>
        <a:ln w="25384">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2277917014759119E-2"/>
          <c:y val="5.7426259462281387E-2"/>
          <c:w val="0.93868450390189517"/>
          <c:h val="0.82045193569553809"/>
        </c:manualLayout>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5.3532334377935198E-2"/>
                  <c:y val="4.91884022309711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BA0F-4523-89DB-F35FAD579436}"/>
                </c:ext>
              </c:extLst>
            </c:dLbl>
            <c:dLbl>
              <c:idx val="3"/>
              <c:layout>
                <c:manualLayout>
                  <c:x val="-5.6229094024369618E-2"/>
                  <c:y val="7.937564947238738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BA0F-4523-89DB-F35FAD579436}"/>
                </c:ext>
              </c:extLst>
            </c:dLbl>
            <c:spPr>
              <a:noFill/>
              <a:ln w="2541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Blad1!$A$2:$A$6</c:f>
              <c:numCache>
                <c:formatCode>General</c:formatCode>
                <c:ptCount val="5"/>
                <c:pt idx="0">
                  <c:v>2013</c:v>
                </c:pt>
                <c:pt idx="1">
                  <c:v>2014</c:v>
                </c:pt>
                <c:pt idx="2">
                  <c:v>2015</c:v>
                </c:pt>
                <c:pt idx="3">
                  <c:v>2016</c:v>
                </c:pt>
                <c:pt idx="4">
                  <c:v>2017</c:v>
                </c:pt>
              </c:numCache>
            </c:numRef>
          </c:cat>
          <c:val>
            <c:numRef>
              <c:f>Blad1!$B$2:$B$6</c:f>
              <c:numCache>
                <c:formatCode>General</c:formatCode>
                <c:ptCount val="5"/>
                <c:pt idx="0">
                  <c:v>13</c:v>
                </c:pt>
                <c:pt idx="1">
                  <c:v>13</c:v>
                </c:pt>
                <c:pt idx="2">
                  <c:v>20</c:v>
                </c:pt>
                <c:pt idx="3">
                  <c:v>19</c:v>
                </c:pt>
                <c:pt idx="4">
                  <c:v>16</c:v>
                </c:pt>
              </c:numCache>
            </c:numRef>
          </c:val>
          <c:smooth val="0"/>
          <c:extLst xmlns:c16r2="http://schemas.microsoft.com/office/drawing/2015/06/chart">
            <c:ext xmlns:c16="http://schemas.microsoft.com/office/drawing/2014/chart" uri="{C3380CC4-5D6E-409C-BE32-E72D297353CC}">
              <c16:uniqueId val="{00000002-BA0F-4523-89DB-F35FAD579436}"/>
            </c:ext>
          </c:extLst>
        </c:ser>
        <c:dLbls>
          <c:showLegendKey val="0"/>
          <c:showVal val="0"/>
          <c:showCatName val="0"/>
          <c:showSerName val="0"/>
          <c:showPercent val="0"/>
          <c:showBubbleSize val="0"/>
        </c:dLbls>
        <c:marker val="1"/>
        <c:smooth val="0"/>
        <c:axId val="210232448"/>
        <c:axId val="210233984"/>
      </c:lineChart>
      <c:catAx>
        <c:axId val="210232448"/>
        <c:scaling>
          <c:orientation val="minMax"/>
        </c:scaling>
        <c:delete val="0"/>
        <c:axPos val="b"/>
        <c:numFmt formatCode="General" sourceLinked="1"/>
        <c:majorTickMark val="none"/>
        <c:minorTickMark val="none"/>
        <c:tickLblPos val="nextTo"/>
        <c:spPr>
          <a:noFill/>
          <a:ln w="1270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210233984"/>
        <c:crosses val="autoZero"/>
        <c:auto val="1"/>
        <c:lblAlgn val="ctr"/>
        <c:lblOffset val="100"/>
        <c:noMultiLvlLbl val="0"/>
      </c:catAx>
      <c:valAx>
        <c:axId val="210233984"/>
        <c:scaling>
          <c:orientation val="minMax"/>
          <c:min val="5"/>
        </c:scaling>
        <c:delete val="1"/>
        <c:axPos val="l"/>
        <c:majorGridlines>
          <c:spPr>
            <a:ln w="9529" cap="flat" cmpd="sng" algn="ctr">
              <a:solidFill>
                <a:schemeClr val="tx1">
                  <a:lumMod val="15000"/>
                  <a:lumOff val="85000"/>
                </a:schemeClr>
              </a:solidFill>
              <a:round/>
            </a:ln>
            <a:effectLst/>
          </c:spPr>
        </c:majorGridlines>
        <c:numFmt formatCode="General" sourceLinked="1"/>
        <c:majorTickMark val="out"/>
        <c:minorTickMark val="none"/>
        <c:tickLblPos val="nextTo"/>
        <c:crossAx val="210232448"/>
        <c:crosses val="autoZero"/>
        <c:crossBetween val="between"/>
      </c:valAx>
      <c:spPr>
        <a:noFill/>
        <a:ln w="25410">
          <a:noFill/>
        </a:ln>
      </c:spPr>
    </c:plotArea>
    <c:plotVisOnly val="1"/>
    <c:dispBlanksAs val="gap"/>
    <c:showDLblsOverMax val="0"/>
  </c:chart>
  <c:spPr>
    <a:solidFill>
      <a:schemeClr val="bg1"/>
    </a:solidFill>
    <a:ln w="952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7"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nl-BE" sz="1097" b="0" baseline="0">
                <a:solidFill>
                  <a:srgbClr val="002060"/>
                </a:solidFill>
                <a:latin typeface="Arial" panose="020B0604020202020204" pitchFamily="34" charset="0"/>
                <a:ea typeface="Verdana" panose="020B0604030504040204" pitchFamily="34" charset="0"/>
                <a:cs typeface="Arial" panose="020B0604020202020204" pitchFamily="34" charset="0"/>
              </a:rPr>
              <a:t>16 new </a:t>
            </a:r>
            <a:r>
              <a:rPr lang="nl-BE" sz="1097" b="0">
                <a:solidFill>
                  <a:srgbClr val="002060"/>
                </a:solidFill>
                <a:latin typeface="Arial" panose="020B0604020202020204" pitchFamily="34" charset="0"/>
                <a:ea typeface="Verdana" panose="020B0604030504040204" pitchFamily="34" charset="0"/>
                <a:cs typeface="Arial" panose="020B0604020202020204" pitchFamily="34" charset="0"/>
              </a:rPr>
              <a:t>late transposition infringement cases against </a:t>
            </a:r>
            <a:r>
              <a:rPr lang="en-GB" sz="1097"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Malta</a:t>
            </a:r>
            <a:endParaRPr lang="nl-BE"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3286209286209286"/>
          <c:y val="3.2822757111597371E-2"/>
        </c:manualLayout>
      </c:layout>
      <c:overlay val="0"/>
      <c:spPr>
        <a:noFill/>
        <a:ln w="25340">
          <a:noFill/>
        </a:ln>
      </c:spPr>
    </c:title>
    <c:autoTitleDeleted val="0"/>
    <c:plotArea>
      <c:layout>
        <c:manualLayout>
          <c:layoutTarget val="inner"/>
          <c:xMode val="edge"/>
          <c:yMode val="edge"/>
          <c:x val="0.31614720034995625"/>
          <c:y val="0.26226409198850142"/>
          <c:w val="0.3723354111986002"/>
          <c:h val="0.6382892763404574"/>
        </c:manualLayout>
      </c:layout>
      <c:pieChart>
        <c:varyColors val="1"/>
        <c:ser>
          <c:idx val="0"/>
          <c:order val="0"/>
          <c:tx>
            <c:strRef>
              <c:f>Blad1!$B$1</c:f>
              <c:strCache>
                <c:ptCount val="1"/>
                <c:pt idx="0">
                  <c:v>[Number of late transposition cases] late transposition cases against [Member State]</c:v>
                </c:pt>
              </c:strCache>
            </c:strRef>
          </c:tx>
          <c:spPr>
            <a:scene3d>
              <a:camera prst="orthographicFront"/>
              <a:lightRig rig="threePt" dir="t"/>
            </a:scene3d>
            <a:sp3d>
              <a:bevelT w="63500" h="25400"/>
            </a:sp3d>
          </c:spPr>
          <c:dPt>
            <c:idx val="0"/>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2A13-43B2-B231-2E342CE285A7}"/>
              </c:ext>
            </c:extLst>
          </c:dPt>
          <c:dPt>
            <c:idx val="1"/>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2A13-43B2-B231-2E342CE285A7}"/>
              </c:ext>
            </c:extLst>
          </c:dPt>
          <c:dPt>
            <c:idx val="2"/>
            <c:bubble3D val="0"/>
            <c:spPr>
              <a:solidFill>
                <a:srgbClr val="FF7DF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2A13-43B2-B231-2E342CE285A7}"/>
              </c:ext>
            </c:extLst>
          </c:dPt>
          <c:dPt>
            <c:idx val="3"/>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2A13-43B2-B231-2E342CE285A7}"/>
              </c:ext>
            </c:extLst>
          </c:dPt>
          <c:dPt>
            <c:idx val="4"/>
            <c:bubble3D val="0"/>
            <c:extLst xmlns:c16r2="http://schemas.microsoft.com/office/drawing/2015/06/chart">
              <c:ext xmlns:c16="http://schemas.microsoft.com/office/drawing/2014/chart" uri="{C3380CC4-5D6E-409C-BE32-E72D297353CC}">
                <c16:uniqueId val="{00000008-2A13-43B2-B231-2E342CE285A7}"/>
              </c:ext>
            </c:extLst>
          </c:dPt>
          <c:dLbls>
            <c:dLbl>
              <c:idx val="0"/>
              <c:layout>
                <c:manualLayout>
                  <c:x val="-8.1711443046363387E-3"/>
                  <c:y val="5.1083430145002363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2A13-43B2-B231-2E342CE285A7}"/>
                </c:ext>
              </c:extLst>
            </c:dLbl>
            <c:dLbl>
              <c:idx val="1"/>
              <c:layout>
                <c:manualLayout>
                  <c:x val="1.0764206799731429E-2"/>
                  <c:y val="0.19401746912783444"/>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2A13-43B2-B231-2E342CE285A7}"/>
                </c:ext>
              </c:extLst>
            </c:dLbl>
            <c:dLbl>
              <c:idx val="2"/>
              <c:layout>
                <c:manualLayout>
                  <c:x val="2.0822760980241295E-4"/>
                  <c:y val="3.8116690331741317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2A13-43B2-B231-2E342CE285A7}"/>
                </c:ext>
              </c:extLst>
            </c:dLbl>
            <c:dLbl>
              <c:idx val="3"/>
              <c:layout>
                <c:manualLayout>
                  <c:x val="-0.10218213367819667"/>
                  <c:y val="-0.2101841573082052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2A13-43B2-B231-2E342CE285A7}"/>
                </c:ext>
              </c:extLst>
            </c:dLbl>
            <c:spPr>
              <a:noFill/>
              <a:ln w="25340">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Blad1!$A$4:$A$8</c:f>
              <c:strCache>
                <c:ptCount val="4"/>
                <c:pt idx="0">
                  <c:v>Environment</c:v>
                </c:pt>
                <c:pt idx="1">
                  <c:v>Financial stability, financial services and Capital Markets Union</c:v>
                </c:pt>
                <c:pt idx="2">
                  <c:v>Health and food safety</c:v>
                </c:pt>
                <c:pt idx="3">
                  <c:v>Other</c:v>
                </c:pt>
              </c:strCache>
            </c:strRef>
          </c:cat>
          <c:val>
            <c:numRef>
              <c:f>Blad1!$B$4:$B$8</c:f>
              <c:numCache>
                <c:formatCode>General</c:formatCode>
                <c:ptCount val="5"/>
                <c:pt idx="0">
                  <c:v>4</c:v>
                </c:pt>
                <c:pt idx="1">
                  <c:v>3</c:v>
                </c:pt>
                <c:pt idx="2">
                  <c:v>3</c:v>
                </c:pt>
                <c:pt idx="3">
                  <c:v>6</c:v>
                </c:pt>
              </c:numCache>
            </c:numRef>
          </c:val>
          <c:extLst xmlns:c16r2="http://schemas.microsoft.com/office/drawing/2015/06/chart">
            <c:ext xmlns:c16="http://schemas.microsoft.com/office/drawing/2014/chart" uri="{C3380CC4-5D6E-409C-BE32-E72D297353CC}">
              <c16:uniqueId val="{00000009-2A13-43B2-B231-2E342CE285A7}"/>
            </c:ext>
          </c:extLst>
        </c:ser>
        <c:dLbls>
          <c:showLegendKey val="0"/>
          <c:showVal val="0"/>
          <c:showCatName val="0"/>
          <c:showSerName val="0"/>
          <c:showPercent val="0"/>
          <c:showBubbleSize val="0"/>
          <c:showLeaderLines val="0"/>
        </c:dLbls>
        <c:firstSliceAng val="276"/>
      </c:pieChart>
      <c:spPr>
        <a:noFill/>
        <a:ln w="25340">
          <a:noFill/>
        </a:ln>
      </c:spPr>
    </c:plotArea>
    <c:plotVisOnly val="1"/>
    <c:dispBlanksAs val="gap"/>
    <c:showDLblsOverMax val="0"/>
  </c:chart>
  <c:spPr>
    <a:solidFill>
      <a:schemeClr val="bg1"/>
    </a:solidFill>
    <a:ln w="9502"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1"/>
              <c:layout>
                <c:manualLayout>
                  <c:x val="-5.8615485564304459E-2"/>
                  <c:y val="6.939136978507062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3CC5-418B-A5DA-FDA78A890468}"/>
                </c:ext>
              </c:extLst>
            </c:dLbl>
            <c:dLbl>
              <c:idx val="3"/>
              <c:layout>
                <c:manualLayout>
                  <c:x val="-5.0137164852175259E-2"/>
                  <c:y val="-6.672453703703704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7AB1-4036-8C61-6181DE652D27}"/>
                </c:ext>
              </c:extLst>
            </c:dLbl>
            <c:dLbl>
              <c:idx val="4"/>
              <c:layout>
                <c:manualLayout>
                  <c:x val="-3.911111111111111E-2"/>
                  <c:y val="7.8496503496503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3CC5-418B-A5DA-FDA78A890468}"/>
                </c:ext>
              </c:extLst>
            </c:dLbl>
            <c:spPr>
              <a:noFill/>
              <a:ln w="25398">
                <a:noFill/>
              </a:ln>
            </c:spPr>
            <c:txPr>
              <a:bodyPr/>
              <a:lstStyle/>
              <a:p>
                <a:pPr>
                  <a:defRPr sz="90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General</c:formatCode>
                <c:ptCount val="5"/>
                <c:pt idx="0">
                  <c:v>90</c:v>
                </c:pt>
                <c:pt idx="1">
                  <c:v>87</c:v>
                </c:pt>
                <c:pt idx="2">
                  <c:v>79</c:v>
                </c:pt>
                <c:pt idx="3">
                  <c:v>107</c:v>
                </c:pt>
                <c:pt idx="4">
                  <c:v>85</c:v>
                </c:pt>
              </c:numCache>
            </c:numRef>
          </c:val>
          <c:smooth val="0"/>
          <c:extLst xmlns:c16r2="http://schemas.microsoft.com/office/drawing/2015/06/chart">
            <c:ext xmlns:c16="http://schemas.microsoft.com/office/drawing/2014/chart" uri="{C3380CC4-5D6E-409C-BE32-E72D297353CC}">
              <c16:uniqueId val="{00000002-3CC5-418B-A5DA-FDA78A890468}"/>
            </c:ext>
          </c:extLst>
        </c:ser>
        <c:dLbls>
          <c:showLegendKey val="0"/>
          <c:showVal val="0"/>
          <c:showCatName val="0"/>
          <c:showSerName val="0"/>
          <c:showPercent val="0"/>
          <c:showBubbleSize val="0"/>
        </c:dLbls>
        <c:marker val="1"/>
        <c:smooth val="0"/>
        <c:axId val="214598400"/>
        <c:axId val="214599936"/>
      </c:lineChart>
      <c:catAx>
        <c:axId val="214598400"/>
        <c:scaling>
          <c:orientation val="minMax"/>
        </c:scaling>
        <c:delete val="0"/>
        <c:axPos val="b"/>
        <c:numFmt formatCode="General" sourceLinked="1"/>
        <c:majorTickMark val="none"/>
        <c:minorTickMark val="none"/>
        <c:tickLblPos val="nextTo"/>
        <c:spPr>
          <a:noFill/>
          <a:ln w="12699"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214599936"/>
        <c:crosses val="autoZero"/>
        <c:auto val="1"/>
        <c:lblAlgn val="ctr"/>
        <c:lblOffset val="100"/>
        <c:noMultiLvlLbl val="0"/>
      </c:catAx>
      <c:valAx>
        <c:axId val="214599936"/>
        <c:scaling>
          <c:orientation val="minMax"/>
          <c:min val="60"/>
        </c:scaling>
        <c:delete val="1"/>
        <c:axPos val="l"/>
        <c:majorGridlines>
          <c:spPr>
            <a:ln w="9524" cap="flat" cmpd="sng" algn="ctr">
              <a:solidFill>
                <a:schemeClr val="tx1">
                  <a:lumMod val="15000"/>
                  <a:lumOff val="85000"/>
                </a:schemeClr>
              </a:solidFill>
              <a:round/>
            </a:ln>
            <a:effectLst/>
          </c:spPr>
        </c:majorGridlines>
        <c:numFmt formatCode="General" sourceLinked="1"/>
        <c:majorTickMark val="out"/>
        <c:minorTickMark val="none"/>
        <c:tickLblPos val="nextTo"/>
        <c:crossAx val="214598400"/>
        <c:crosses val="autoZero"/>
        <c:crossBetween val="between"/>
      </c:valAx>
      <c:spPr>
        <a:noFill/>
        <a:ln w="25398">
          <a:noFill/>
        </a:ln>
      </c:spPr>
    </c:plotArea>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9" b="0" i="0" u="none" strike="noStrike" kern="1200" baseline="0">
                <a:solidFill>
                  <a:srgbClr val="002060"/>
                </a:solidFill>
                <a:latin typeface="+mn-lt"/>
                <a:ea typeface="+mn-ea"/>
                <a:cs typeface="+mn-cs"/>
              </a:defRPr>
            </a:pPr>
            <a:r>
              <a:rPr lang="en-US" sz="1099" b="0" i="0">
                <a:solidFill>
                  <a:srgbClr val="002060"/>
                </a:solidFill>
                <a:latin typeface="Arial" panose="020B0604020202020204" pitchFamily="34" charset="0"/>
                <a:ea typeface="Verdana" panose="020B0604030504040204" pitchFamily="34" charset="0"/>
                <a:cs typeface="Arial" panose="020B0604020202020204" pitchFamily="34" charset="0"/>
              </a:rPr>
              <a:t>85 complaints made against </a:t>
            </a:r>
            <a:r>
              <a:rPr lang="en-US" sz="10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Netherlands</a:t>
            </a:r>
            <a:endParaRPr lang="en-US" sz="1100" b="0" i="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w="25386">
          <a:noFill/>
        </a:ln>
      </c:spPr>
    </c:title>
    <c:autoTitleDeleted val="0"/>
    <c:plotArea>
      <c:layout/>
      <c:pieChart>
        <c:varyColors val="1"/>
        <c:ser>
          <c:idx val="0"/>
          <c:order val="0"/>
          <c:tx>
            <c:strRef>
              <c:f>Blad1!$B$1</c:f>
              <c:strCache>
                <c:ptCount val="1"/>
                <c:pt idx="0">
                  <c:v>[Number of new complaints] complaints made against [Member State]</c:v>
                </c:pt>
              </c:strCache>
            </c:strRef>
          </c:tx>
          <c:spPr>
            <a:scene3d>
              <a:camera prst="orthographicFront"/>
              <a:lightRig rig="threePt" dir="t"/>
            </a:scene3d>
            <a:sp3d>
              <a:bevelT w="63500" h="25400"/>
            </a:sp3d>
          </c:spPr>
          <c:dPt>
            <c:idx val="0"/>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292E-4F38-8D10-FC3BC9071755}"/>
              </c:ext>
            </c:extLst>
          </c:dPt>
          <c:dPt>
            <c:idx val="1"/>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292E-4F38-8D10-FC3BC9071755}"/>
              </c:ext>
            </c:extLst>
          </c:dPt>
          <c:dPt>
            <c:idx val="2"/>
            <c:bubble3D val="0"/>
            <c:spPr>
              <a:solidFill>
                <a:srgbClr val="FFD617"/>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292E-4F38-8D10-FC3BC9071755}"/>
              </c:ext>
            </c:extLst>
          </c:dPt>
          <c:dPt>
            <c:idx val="3"/>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292E-4F38-8D10-FC3BC9071755}"/>
              </c:ext>
            </c:extLst>
          </c:dPt>
          <c:dPt>
            <c:idx val="4"/>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292E-4F38-8D10-FC3BC9071755}"/>
              </c:ext>
            </c:extLst>
          </c:dPt>
          <c:dLbls>
            <c:dLbl>
              <c:idx val="0"/>
              <c:layout>
                <c:manualLayout>
                  <c:x val="-4.5146517179179765E-2"/>
                  <c:y val="3.2018938809119449E-2"/>
                </c:manualLayout>
              </c:layout>
              <c:spPr>
                <a:noFill/>
                <a:ln w="25386">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292E-4F38-8D10-FC3BC9071755}"/>
                </c:ext>
              </c:extLst>
            </c:dLbl>
            <c:dLbl>
              <c:idx val="1"/>
              <c:layout>
                <c:manualLayout>
                  <c:x val="3.015456401283173E-2"/>
                  <c:y val="0.15189336627039268"/>
                </c:manualLayout>
              </c:layout>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r>
                      <a:rPr lang="en-US" sz="900"/>
                      <a:t>Internal market, industry, </a:t>
                    </a:r>
                    <a:r>
                      <a:rPr lang="en-US" sz="820"/>
                      <a:t>entrepreneurship</a:t>
                    </a:r>
                    <a:r>
                      <a:rPr lang="en-US" sz="900"/>
                      <a:t> and SMEs
12</a:t>
                    </a:r>
                    <a:endParaRPr lang="en-US"/>
                  </a:p>
                </c:rich>
              </c:tx>
              <c:spPr>
                <a:noFill/>
                <a:ln w="25386">
                  <a:noFill/>
                </a:ln>
              </c:sp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292E-4F38-8D10-FC3BC9071755}"/>
                </c:ext>
              </c:extLst>
            </c:dLbl>
            <c:dLbl>
              <c:idx val="2"/>
              <c:layout>
                <c:manualLayout>
                  <c:x val="2.376246179104155E-5"/>
                  <c:y val="8.9003756883330759E-2"/>
                </c:manualLayout>
              </c:layout>
              <c:spPr>
                <a:noFill/>
                <a:ln w="25386">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292E-4F38-8D10-FC3BC9071755}"/>
                </c:ext>
              </c:extLst>
            </c:dLbl>
            <c:dLbl>
              <c:idx val="3"/>
              <c:layout>
                <c:manualLayout>
                  <c:x val="-0.21974943170523004"/>
                  <c:y val="-6.3575615498966009E-2"/>
                </c:manualLayout>
              </c:layout>
              <c:spPr>
                <a:noFill/>
                <a:ln w="25386">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292E-4F38-8D10-FC3BC9071755}"/>
                </c:ext>
              </c:extLst>
            </c:dLbl>
            <c:spPr>
              <a:noFill/>
              <a:ln w="25386">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Blad1!$A$3:$A$6</c:f>
              <c:strCache>
                <c:ptCount val="4"/>
                <c:pt idx="0">
                  <c:v>Justice and consumers</c:v>
                </c:pt>
                <c:pt idx="1">
                  <c:v>Internal market, industry, entrepreneurship and SMEs</c:v>
                </c:pt>
                <c:pt idx="2">
                  <c:v>Employment</c:v>
                </c:pt>
                <c:pt idx="3">
                  <c:v>Other</c:v>
                </c:pt>
              </c:strCache>
            </c:strRef>
          </c:cat>
          <c:val>
            <c:numRef>
              <c:f>Blad1!$B$3:$B$6</c:f>
              <c:numCache>
                <c:formatCode>General</c:formatCode>
                <c:ptCount val="4"/>
                <c:pt idx="0">
                  <c:v>27</c:v>
                </c:pt>
                <c:pt idx="1">
                  <c:v>12</c:v>
                </c:pt>
                <c:pt idx="2">
                  <c:v>11</c:v>
                </c:pt>
                <c:pt idx="3">
                  <c:v>35</c:v>
                </c:pt>
              </c:numCache>
            </c:numRef>
          </c:val>
          <c:extLst xmlns:c16r2="http://schemas.microsoft.com/office/drawing/2015/06/chart">
            <c:ext xmlns:c16="http://schemas.microsoft.com/office/drawing/2014/chart" uri="{C3380CC4-5D6E-409C-BE32-E72D297353CC}">
              <c16:uniqueId val="{0000000A-292E-4F38-8D10-FC3BC9071755}"/>
            </c:ext>
          </c:extLst>
        </c:ser>
        <c:dLbls>
          <c:showLegendKey val="0"/>
          <c:showVal val="0"/>
          <c:showCatName val="0"/>
          <c:showSerName val="0"/>
          <c:showPercent val="0"/>
          <c:showBubbleSize val="0"/>
          <c:showLeaderLines val="0"/>
        </c:dLbls>
        <c:firstSliceAng val="246"/>
      </c:pieChart>
      <c:spPr>
        <a:noFill/>
        <a:ln w="25386">
          <a:noFill/>
        </a:ln>
      </c:spPr>
    </c:plotArea>
    <c:plotVisOnly val="1"/>
    <c:dispBlanksAs val="gap"/>
    <c:showDLblsOverMax val="0"/>
  </c:chart>
  <c:spPr>
    <a:solidFill>
      <a:schemeClr val="bg1"/>
    </a:solidFill>
    <a:ln w="952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spPr>
              <a:noFill/>
              <a:ln w="25370">
                <a:noFill/>
              </a:ln>
            </c:spPr>
            <c:txPr>
              <a:bodyPr/>
              <a:lstStyle/>
              <a:p>
                <a:pPr>
                  <a:defRPr sz="899">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General</c:formatCode>
                <c:ptCount val="5"/>
                <c:pt idx="0">
                  <c:v>51</c:v>
                </c:pt>
                <c:pt idx="1">
                  <c:v>32</c:v>
                </c:pt>
                <c:pt idx="2">
                  <c:v>20</c:v>
                </c:pt>
                <c:pt idx="3">
                  <c:v>23</c:v>
                </c:pt>
                <c:pt idx="4">
                  <c:v>4</c:v>
                </c:pt>
              </c:numCache>
            </c:numRef>
          </c:val>
          <c:smooth val="0"/>
          <c:extLst xmlns:c16r2="http://schemas.microsoft.com/office/drawing/2015/06/chart">
            <c:ext xmlns:c16="http://schemas.microsoft.com/office/drawing/2014/chart" uri="{C3380CC4-5D6E-409C-BE32-E72D297353CC}">
              <c16:uniqueId val="{00000000-2A94-49EE-BBF1-3FFE451B3A8D}"/>
            </c:ext>
          </c:extLst>
        </c:ser>
        <c:dLbls>
          <c:showLegendKey val="0"/>
          <c:showVal val="0"/>
          <c:showCatName val="0"/>
          <c:showSerName val="0"/>
          <c:showPercent val="0"/>
          <c:showBubbleSize val="0"/>
        </c:dLbls>
        <c:marker val="1"/>
        <c:smooth val="0"/>
        <c:axId val="215123456"/>
        <c:axId val="215124992"/>
      </c:lineChart>
      <c:catAx>
        <c:axId val="215123456"/>
        <c:scaling>
          <c:orientation val="minMax"/>
        </c:scaling>
        <c:delete val="0"/>
        <c:axPos val="b"/>
        <c:numFmt formatCode="General" sourceLinked="1"/>
        <c:majorTickMark val="none"/>
        <c:minorTickMark val="none"/>
        <c:tickLblPos val="nextTo"/>
        <c:spPr>
          <a:noFill/>
          <a:ln w="12685"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215124992"/>
        <c:crosses val="autoZero"/>
        <c:auto val="1"/>
        <c:lblAlgn val="ctr"/>
        <c:lblOffset val="100"/>
        <c:noMultiLvlLbl val="0"/>
      </c:catAx>
      <c:valAx>
        <c:axId val="215124992"/>
        <c:scaling>
          <c:orientation val="minMax"/>
        </c:scaling>
        <c:delete val="1"/>
        <c:axPos val="l"/>
        <c:majorGridlines>
          <c:spPr>
            <a:ln w="9514" cap="flat" cmpd="sng" algn="ctr">
              <a:solidFill>
                <a:schemeClr val="tx1">
                  <a:lumMod val="15000"/>
                  <a:lumOff val="85000"/>
                </a:schemeClr>
              </a:solidFill>
              <a:round/>
            </a:ln>
            <a:effectLst/>
          </c:spPr>
        </c:majorGridlines>
        <c:numFmt formatCode="General" sourceLinked="1"/>
        <c:majorTickMark val="out"/>
        <c:minorTickMark val="none"/>
        <c:tickLblPos val="nextTo"/>
        <c:crossAx val="215123456"/>
        <c:crosses val="autoZero"/>
        <c:crossBetween val="between"/>
      </c:valAx>
      <c:spPr>
        <a:noFill/>
        <a:ln w="25370">
          <a:noFill/>
        </a:ln>
      </c:spPr>
    </c:plotArea>
    <c:plotVisOnly val="1"/>
    <c:dispBlanksAs val="gap"/>
    <c:showDLblsOverMax val="0"/>
  </c:chart>
  <c:spPr>
    <a:solidFill>
      <a:schemeClr val="bg1"/>
    </a:solidFill>
    <a:ln w="951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spPr>
              <a:noFill/>
              <a:ln w="25370">
                <a:noFill/>
              </a:ln>
            </c:spPr>
            <c:txPr>
              <a:bodyPr/>
              <a:lstStyle/>
              <a:p>
                <a:pPr>
                  <a:defRPr sz="899">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General</c:formatCode>
                <c:ptCount val="5"/>
                <c:pt idx="0">
                  <c:v>53</c:v>
                </c:pt>
                <c:pt idx="1">
                  <c:v>41</c:v>
                </c:pt>
                <c:pt idx="2">
                  <c:v>29</c:v>
                </c:pt>
                <c:pt idx="3">
                  <c:v>31</c:v>
                </c:pt>
                <c:pt idx="4">
                  <c:v>23</c:v>
                </c:pt>
              </c:numCache>
            </c:numRef>
          </c:val>
          <c:smooth val="0"/>
          <c:extLst xmlns:c16r2="http://schemas.microsoft.com/office/drawing/2015/06/chart">
            <c:ext xmlns:c16="http://schemas.microsoft.com/office/drawing/2014/chart" uri="{C3380CC4-5D6E-409C-BE32-E72D297353CC}">
              <c16:uniqueId val="{00000000-8B27-4A09-A9EB-731B3F3AC5E8}"/>
            </c:ext>
          </c:extLst>
        </c:ser>
        <c:dLbls>
          <c:showLegendKey val="0"/>
          <c:showVal val="0"/>
          <c:showCatName val="0"/>
          <c:showSerName val="0"/>
          <c:showPercent val="0"/>
          <c:showBubbleSize val="0"/>
        </c:dLbls>
        <c:marker val="1"/>
        <c:smooth val="0"/>
        <c:axId val="215183360"/>
        <c:axId val="215184896"/>
      </c:lineChart>
      <c:catAx>
        <c:axId val="215183360"/>
        <c:scaling>
          <c:orientation val="minMax"/>
        </c:scaling>
        <c:delete val="0"/>
        <c:axPos val="b"/>
        <c:numFmt formatCode="General" sourceLinked="1"/>
        <c:majorTickMark val="none"/>
        <c:minorTickMark val="none"/>
        <c:tickLblPos val="nextTo"/>
        <c:spPr>
          <a:noFill/>
          <a:ln w="12685"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215184896"/>
        <c:crosses val="autoZero"/>
        <c:auto val="1"/>
        <c:lblAlgn val="ctr"/>
        <c:lblOffset val="100"/>
        <c:noMultiLvlLbl val="0"/>
      </c:catAx>
      <c:valAx>
        <c:axId val="215184896"/>
        <c:scaling>
          <c:orientation val="minMax"/>
        </c:scaling>
        <c:delete val="1"/>
        <c:axPos val="l"/>
        <c:majorGridlines>
          <c:spPr>
            <a:ln w="9514" cap="flat" cmpd="sng" algn="ctr">
              <a:solidFill>
                <a:schemeClr val="tx1">
                  <a:lumMod val="15000"/>
                  <a:lumOff val="85000"/>
                </a:schemeClr>
              </a:solidFill>
              <a:round/>
            </a:ln>
            <a:effectLst/>
          </c:spPr>
        </c:majorGridlines>
        <c:numFmt formatCode="General" sourceLinked="1"/>
        <c:majorTickMark val="out"/>
        <c:minorTickMark val="none"/>
        <c:tickLblPos val="nextTo"/>
        <c:crossAx val="215183360"/>
        <c:crosses val="autoZero"/>
        <c:crossBetween val="between"/>
      </c:valAx>
      <c:spPr>
        <a:noFill/>
        <a:ln w="25370">
          <a:noFill/>
        </a:ln>
      </c:spPr>
    </c:plotArea>
    <c:plotVisOnly val="1"/>
    <c:dispBlanksAs val="gap"/>
    <c:showDLblsOverMax val="0"/>
  </c:chart>
  <c:spPr>
    <a:solidFill>
      <a:schemeClr val="bg1"/>
    </a:solidFill>
    <a:ln w="951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Arial" panose="020B0604020202020204" pitchFamily="34" charset="0"/>
                <a:cs typeface="Arial" panose="020B0604020202020204" pitchFamily="34" charset="0"/>
              </a:defRPr>
            </a:pPr>
            <a:r>
              <a:rPr lang="en-US" sz="1100" b="0" i="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 4 EU Pilot files opened against </a:t>
            </a:r>
            <a:r>
              <a:rPr lang="en-US" sz="1100" b="0" i="0" u="none" strike="noStrike" kern="120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Netherlands</a:t>
            </a:r>
            <a:endParaRPr lang="en-GB" sz="1100">
              <a:solidFill>
                <a:srgbClr val="002060"/>
              </a:solidFill>
              <a:effectLst/>
              <a:latin typeface="Arial" panose="020B0604020202020204" pitchFamily="34" charset="0"/>
              <a:ea typeface="Verdana" panose="020B0604030504040204" pitchFamily="34" charset="0"/>
              <a:cs typeface="Arial" panose="020B0604020202020204" pitchFamily="34" charset="0"/>
            </a:endParaRPr>
          </a:p>
        </c:rich>
      </c:tx>
      <c:overlay val="0"/>
    </c:title>
    <c:autoTitleDeleted val="0"/>
    <c:plotArea>
      <c:layout/>
      <c:pieChart>
        <c:varyColors val="1"/>
        <c:ser>
          <c:idx val="0"/>
          <c:order val="0"/>
          <c:tx>
            <c:strRef>
              <c:f>Blad1!$B$1</c:f>
              <c:strCache>
                <c:ptCount val="1"/>
                <c:pt idx="0">
                  <c:v>[Number of new EU Pilot files ] EU Pilot files opened against [Member State]</c:v>
                </c:pt>
              </c:strCache>
            </c:strRef>
          </c:tx>
          <c:spPr>
            <a:solidFill>
              <a:srgbClr val="CCC0D9"/>
            </a:solidFill>
            <a:scene3d>
              <a:camera prst="orthographicFront"/>
              <a:lightRig rig="threePt" dir="t"/>
            </a:scene3d>
            <a:sp3d>
              <a:bevelT w="63500" h="25400"/>
            </a:sp3d>
          </c:spPr>
          <c:dPt>
            <c:idx val="0"/>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9F08-45A4-817B-5742D41E466B}"/>
              </c:ext>
            </c:extLst>
          </c:dPt>
          <c:dPt>
            <c:idx val="1"/>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9F08-45A4-817B-5742D41E466B}"/>
              </c:ext>
            </c:extLst>
          </c:dPt>
          <c:dPt>
            <c:idx val="2"/>
            <c:bubble3D val="0"/>
            <c:spPr>
              <a:solidFill>
                <a:srgbClr val="E7511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9F08-45A4-817B-5742D41E466B}"/>
              </c:ext>
            </c:extLst>
          </c:dPt>
          <c:dPt>
            <c:idx val="3"/>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9F08-45A4-817B-5742D41E466B}"/>
              </c:ext>
            </c:extLst>
          </c:dPt>
          <c:dPt>
            <c:idx val="4"/>
            <c:bubble3D val="0"/>
            <c:extLst xmlns:c16r2="http://schemas.microsoft.com/office/drawing/2015/06/chart">
              <c:ext xmlns:c16="http://schemas.microsoft.com/office/drawing/2014/chart" uri="{C3380CC4-5D6E-409C-BE32-E72D297353CC}">
                <c16:uniqueId val="{00000008-9F08-45A4-817B-5742D41E466B}"/>
              </c:ext>
            </c:extLst>
          </c:dPt>
          <c:dLbls>
            <c:dLbl>
              <c:idx val="0"/>
              <c:layout>
                <c:manualLayout>
                  <c:x val="8.2269218814753423E-3"/>
                  <c:y val="-4.084805710261826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9F08-45A4-817B-5742D41E466B}"/>
                </c:ext>
              </c:extLst>
            </c:dLbl>
            <c:dLbl>
              <c:idx val="1"/>
              <c:layout>
                <c:manualLayout>
                  <c:x val="8.2282224055610243E-3"/>
                  <c:y val="4.86477698363567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9F08-45A4-817B-5742D41E466B}"/>
                </c:ext>
              </c:extLst>
            </c:dLbl>
            <c:dLbl>
              <c:idx val="2"/>
              <c:layout>
                <c:manualLayout>
                  <c:x val="2.4676462313476099E-2"/>
                  <c:y val="3.5708881260122186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9F08-45A4-817B-5742D41E466B}"/>
                </c:ext>
              </c:extLst>
            </c:dLbl>
            <c:dLbl>
              <c:idx val="3"/>
              <c:layout>
                <c:manualLayout>
                  <c:x val="-0.12613678394136341"/>
                  <c:y val="-4.7648526459939597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9F08-45A4-817B-5742D41E466B}"/>
                </c:ext>
              </c:extLst>
            </c:dLbl>
            <c:dLbl>
              <c:idx val="4"/>
              <c:layout>
                <c:manualLayout>
                  <c:x val="-2.7412280701754384E-3"/>
                  <c:y val="3.5568705588630692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9F08-45A4-817B-5742D41E466B}"/>
                </c:ext>
              </c:extLst>
            </c:dLbl>
            <c:dLbl>
              <c:idx val="5"/>
              <c:layout>
                <c:manualLayout>
                  <c:x val="-2.7412280701754384E-3"/>
                  <c:y val="6.605691056910569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54D-46EE-8B04-2ED07B837DC6}"/>
                </c:ext>
              </c:extLst>
            </c:dLbl>
            <c:dLbl>
              <c:idx val="6"/>
              <c:layout>
                <c:manualLayout>
                  <c:x val="-0.15076754385964913"/>
                  <c:y val="-9.1463414634146339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B54D-46EE-8B04-2ED07B837DC6}"/>
                </c:ext>
              </c:extLst>
            </c:dLbl>
            <c:spPr>
              <a:noFill/>
              <a:ln w="25390">
                <a:noFill/>
              </a:ln>
            </c:spPr>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Blad1!$A$3:$A$6</c:f>
              <c:strCache>
                <c:ptCount val="4"/>
                <c:pt idx="0">
                  <c:v>Environment</c:v>
                </c:pt>
                <c:pt idx="1">
                  <c:v>Climate action</c:v>
                </c:pt>
                <c:pt idx="2">
                  <c:v>Energy</c:v>
                </c:pt>
                <c:pt idx="3">
                  <c:v>Mobility and transport</c:v>
                </c:pt>
              </c:strCache>
            </c:strRef>
          </c:cat>
          <c:val>
            <c:numRef>
              <c:f>Blad1!$B$3:$B$6</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B-9F08-45A4-817B-5742D41E466B}"/>
            </c:ext>
          </c:extLst>
        </c:ser>
        <c:dLbls>
          <c:showLegendKey val="0"/>
          <c:showVal val="0"/>
          <c:showCatName val="0"/>
          <c:showSerName val="0"/>
          <c:showPercent val="0"/>
          <c:showBubbleSize val="0"/>
          <c:showLeaderLines val="0"/>
        </c:dLbls>
        <c:firstSliceAng val="240"/>
      </c:pieChart>
      <c:spPr>
        <a:noFill/>
        <a:ln w="25390">
          <a:noFill/>
        </a:ln>
      </c:spPr>
    </c:plotArea>
    <c:plotVisOnly val="1"/>
    <c:dispBlanksAs val="gap"/>
    <c:showDLblsOverMax val="0"/>
  </c:chart>
  <c:spPr>
    <a:solidFill>
      <a:schemeClr val="bg1"/>
    </a:solidFill>
    <a:ln w="952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Blad1!$B$2</c:f>
              <c:strCache>
                <c:ptCount val="1"/>
                <c:pt idx="0">
                  <c:v>the Netherlands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4"/>
              <c:layout>
                <c:manualLayout>
                  <c:x val="-5.7642363670058483E-2"/>
                  <c:y val="4.586021505376344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9A18-447C-84AB-D99B87DF65C8}"/>
                </c:ext>
              </c:extLst>
            </c:dLbl>
            <c:spPr>
              <a:noFill/>
              <a:ln w="25390">
                <a:noFill/>
              </a:ln>
            </c:spPr>
            <c:txPr>
              <a:bodyPr/>
              <a:lstStyle/>
              <a:p>
                <a:pPr>
                  <a:defRPr sz="90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0%</c:formatCode>
                <c:ptCount val="5"/>
                <c:pt idx="0">
                  <c:v>0.76</c:v>
                </c:pt>
                <c:pt idx="1">
                  <c:v>0.77</c:v>
                </c:pt>
                <c:pt idx="2">
                  <c:v>0.87</c:v>
                </c:pt>
                <c:pt idx="3">
                  <c:v>0.81</c:v>
                </c:pt>
                <c:pt idx="4">
                  <c:v>0.62</c:v>
                </c:pt>
              </c:numCache>
            </c:numRef>
          </c:val>
          <c:smooth val="0"/>
          <c:extLst xmlns:c16r2="http://schemas.microsoft.com/office/drawing/2015/06/chart">
            <c:ext xmlns:c16="http://schemas.microsoft.com/office/drawing/2014/chart" uri="{C3380CC4-5D6E-409C-BE32-E72D297353CC}">
              <c16:uniqueId val="{00000000-6CC6-40D1-96FD-C83E287ECDA0}"/>
            </c:ext>
          </c:extLst>
        </c:ser>
        <c:ser>
          <c:idx val="1"/>
          <c:order val="1"/>
          <c:tx>
            <c:strRef>
              <c:f>Blad1!$C$2</c:f>
              <c:strCache>
                <c:ptCount val="1"/>
                <c:pt idx="0">
                  <c:v>General rate for all Member States</c:v>
                </c:pt>
              </c:strCache>
            </c:strRef>
          </c:tx>
          <c:spPr>
            <a:ln w="25390">
              <a:solidFill>
                <a:srgbClr val="92D050"/>
              </a:solidFill>
            </a:ln>
          </c:spPr>
          <c:marker>
            <c:symbol val="square"/>
            <c:size val="4"/>
            <c:spPr>
              <a:solidFill>
                <a:srgbClr val="92D050"/>
              </a:solidFill>
              <a:ln>
                <a:solidFill>
                  <a:srgbClr val="92D050"/>
                </a:solidFill>
              </a:ln>
            </c:spPr>
          </c:marker>
          <c:dLbls>
            <c:dLbl>
              <c:idx val="4"/>
              <c:layout>
                <c:manualLayout>
                  <c:x val="-5.2272574657601829E-2"/>
                  <c:y val="-8.388118303212585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6CC6-40D1-96FD-C83E287ECDA0}"/>
                </c:ext>
              </c:extLst>
            </c:dLbl>
            <c:spPr>
              <a:noFill/>
              <a:ln w="25390">
                <a:noFill/>
              </a:ln>
            </c:spPr>
            <c:txPr>
              <a:bodyPr/>
              <a:lstStyle/>
              <a:p>
                <a:pPr>
                  <a:defRPr sz="900">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2013</c:v>
                </c:pt>
                <c:pt idx="1">
                  <c:v>2014</c:v>
                </c:pt>
                <c:pt idx="2">
                  <c:v>2015</c:v>
                </c:pt>
                <c:pt idx="3">
                  <c:v>2016</c:v>
                </c:pt>
                <c:pt idx="4">
                  <c:v>2017</c:v>
                </c:pt>
              </c:numCache>
            </c:numRef>
          </c:cat>
          <c:val>
            <c:numRef>
              <c:f>Blad1!$C$3:$C$7</c:f>
              <c:numCache>
                <c:formatCode>0%</c:formatCode>
                <c:ptCount val="5"/>
                <c:pt idx="0">
                  <c:v>0.7</c:v>
                </c:pt>
                <c:pt idx="1">
                  <c:v>0.75</c:v>
                </c:pt>
                <c:pt idx="2">
                  <c:v>0.75</c:v>
                </c:pt>
                <c:pt idx="3">
                  <c:v>0.72</c:v>
                </c:pt>
                <c:pt idx="4">
                  <c:v>0.77</c:v>
                </c:pt>
              </c:numCache>
            </c:numRef>
          </c:val>
          <c:smooth val="0"/>
          <c:extLst xmlns:c16r2="http://schemas.microsoft.com/office/drawing/2015/06/chart">
            <c:ext xmlns:c16="http://schemas.microsoft.com/office/drawing/2014/chart" uri="{C3380CC4-5D6E-409C-BE32-E72D297353CC}">
              <c16:uniqueId val="{00000002-6CC6-40D1-96FD-C83E287ECDA0}"/>
            </c:ext>
          </c:extLst>
        </c:ser>
        <c:dLbls>
          <c:showLegendKey val="0"/>
          <c:showVal val="0"/>
          <c:showCatName val="0"/>
          <c:showSerName val="0"/>
          <c:showPercent val="0"/>
          <c:showBubbleSize val="0"/>
        </c:dLbls>
        <c:marker val="1"/>
        <c:smooth val="0"/>
        <c:axId val="222959488"/>
        <c:axId val="222961024"/>
      </c:lineChart>
      <c:catAx>
        <c:axId val="222959488"/>
        <c:scaling>
          <c:orientation val="minMax"/>
        </c:scaling>
        <c:delete val="0"/>
        <c:axPos val="b"/>
        <c:numFmt formatCode="General" sourceLinked="1"/>
        <c:majorTickMark val="none"/>
        <c:minorTickMark val="none"/>
        <c:tickLblPos val="nextTo"/>
        <c:spPr>
          <a:noFill/>
          <a:ln w="1269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222961024"/>
        <c:crosses val="autoZero"/>
        <c:auto val="1"/>
        <c:lblAlgn val="ctr"/>
        <c:lblOffset val="100"/>
        <c:noMultiLvlLbl val="0"/>
      </c:catAx>
      <c:valAx>
        <c:axId val="222961024"/>
        <c:scaling>
          <c:orientation val="minMax"/>
        </c:scaling>
        <c:delete val="1"/>
        <c:axPos val="l"/>
        <c:majorGridlines>
          <c:spPr>
            <a:ln w="9521" cap="flat" cmpd="sng" algn="ctr">
              <a:solidFill>
                <a:schemeClr val="tx1">
                  <a:lumMod val="15000"/>
                  <a:lumOff val="85000"/>
                </a:schemeClr>
              </a:solidFill>
              <a:round/>
            </a:ln>
            <a:effectLst/>
          </c:spPr>
        </c:majorGridlines>
        <c:numFmt formatCode="0%" sourceLinked="1"/>
        <c:majorTickMark val="out"/>
        <c:minorTickMark val="none"/>
        <c:tickLblPos val="nextTo"/>
        <c:crossAx val="222959488"/>
        <c:crosses val="autoZero"/>
        <c:crossBetween val="between"/>
      </c:valAx>
      <c:spPr>
        <a:noFill/>
        <a:ln w="25390">
          <a:noFill/>
        </a:ln>
      </c:spPr>
    </c:plotArea>
    <c:legend>
      <c:legendPos val="b"/>
      <c:overlay val="0"/>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2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1"/>
              <c:layout>
                <c:manualLayout>
                  <c:x val="-3.6661120354963946E-2"/>
                  <c:y val="5.759075907590759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F401-4DA0-805E-FFBF3BFF4E51}"/>
                </c:ext>
              </c:extLst>
            </c:dLbl>
            <c:dLbl>
              <c:idx val="2"/>
              <c:layout>
                <c:manualLayout>
                  <c:x val="-5.0496766107231604E-2"/>
                  <c:y val="6.444609027831922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F401-4DA0-805E-FFBF3BFF4E51}"/>
                </c:ext>
              </c:extLst>
            </c:dLbl>
            <c:spPr>
              <a:noFill/>
              <a:ln w="25387">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General</c:formatCode>
                <c:ptCount val="5"/>
                <c:pt idx="0">
                  <c:v>28</c:v>
                </c:pt>
                <c:pt idx="1">
                  <c:v>31</c:v>
                </c:pt>
                <c:pt idx="2">
                  <c:v>32</c:v>
                </c:pt>
                <c:pt idx="3">
                  <c:v>21</c:v>
                </c:pt>
                <c:pt idx="4">
                  <c:v>15</c:v>
                </c:pt>
              </c:numCache>
            </c:numRef>
          </c:val>
          <c:smooth val="0"/>
          <c:extLst xmlns:c16r2="http://schemas.microsoft.com/office/drawing/2015/06/chart">
            <c:ext xmlns:c16="http://schemas.microsoft.com/office/drawing/2014/chart" uri="{C3380CC4-5D6E-409C-BE32-E72D297353CC}">
              <c16:uniqueId val="{00000002-F401-4DA0-805E-FFBF3BFF4E51}"/>
            </c:ext>
          </c:extLst>
        </c:ser>
        <c:dLbls>
          <c:showLegendKey val="0"/>
          <c:showVal val="0"/>
          <c:showCatName val="0"/>
          <c:showSerName val="0"/>
          <c:showPercent val="0"/>
          <c:showBubbleSize val="0"/>
        </c:dLbls>
        <c:marker val="1"/>
        <c:smooth val="0"/>
        <c:axId val="521558272"/>
        <c:axId val="44322816"/>
      </c:lineChart>
      <c:catAx>
        <c:axId val="521558272"/>
        <c:scaling>
          <c:orientation val="minMax"/>
        </c:scaling>
        <c:delete val="0"/>
        <c:axPos val="b"/>
        <c:numFmt formatCode="General" sourceLinked="1"/>
        <c:majorTickMark val="none"/>
        <c:minorTickMark val="none"/>
        <c:tickLblPos val="nextTo"/>
        <c:spPr>
          <a:noFill/>
          <a:ln w="12693"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44322816"/>
        <c:crosses val="autoZero"/>
        <c:auto val="1"/>
        <c:lblAlgn val="ctr"/>
        <c:lblOffset val="100"/>
        <c:noMultiLvlLbl val="0"/>
      </c:catAx>
      <c:valAx>
        <c:axId val="44322816"/>
        <c:scaling>
          <c:orientation val="minMax"/>
          <c:min val="5"/>
        </c:scaling>
        <c:delete val="1"/>
        <c:axPos val="l"/>
        <c:majorGridlines>
          <c:spPr>
            <a:ln w="9520" cap="flat" cmpd="sng" algn="ctr">
              <a:solidFill>
                <a:schemeClr val="tx1">
                  <a:lumMod val="15000"/>
                  <a:lumOff val="85000"/>
                </a:schemeClr>
              </a:solidFill>
              <a:round/>
            </a:ln>
            <a:effectLst/>
          </c:spPr>
        </c:majorGridlines>
        <c:numFmt formatCode="General" sourceLinked="1"/>
        <c:majorTickMark val="out"/>
        <c:minorTickMark val="none"/>
        <c:tickLblPos val="nextTo"/>
        <c:crossAx val="521558272"/>
        <c:crosses val="autoZero"/>
        <c:crossBetween val="between"/>
      </c:valAx>
      <c:spPr>
        <a:noFill/>
        <a:ln w="25387">
          <a:noFill/>
        </a:ln>
      </c:spPr>
    </c:plotArea>
    <c:plotVisOnly val="1"/>
    <c:dispBlanksAs val="gap"/>
    <c:showDLblsOverMax val="0"/>
  </c:chart>
  <c:spPr>
    <a:solidFill>
      <a:schemeClr val="bg1"/>
    </a:solidFill>
    <a:ln w="952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Lbls>
            <c:dLbl>
              <c:idx val="1"/>
              <c:layout>
                <c:manualLayout>
                  <c:x val="-5.3432633420822398E-2"/>
                  <c:y val="5.433532070472021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27DB-4A9A-8577-CB40B00F25D9}"/>
                </c:ext>
              </c:extLst>
            </c:dLbl>
            <c:spPr>
              <a:noFill/>
              <a:ln w="25372">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Blad1!$A$4:$A$8</c:f>
              <c:numCache>
                <c:formatCode>General</c:formatCode>
                <c:ptCount val="5"/>
                <c:pt idx="0">
                  <c:v>2013</c:v>
                </c:pt>
                <c:pt idx="1">
                  <c:v>2014</c:v>
                </c:pt>
                <c:pt idx="2">
                  <c:v>2015</c:v>
                </c:pt>
                <c:pt idx="3">
                  <c:v>2016</c:v>
                </c:pt>
                <c:pt idx="4">
                  <c:v>2017</c:v>
                </c:pt>
              </c:numCache>
            </c:numRef>
          </c:cat>
          <c:val>
            <c:numRef>
              <c:f>Blad1!$B$4:$B$8</c:f>
              <c:numCache>
                <c:formatCode>General</c:formatCode>
                <c:ptCount val="5"/>
                <c:pt idx="0">
                  <c:v>40</c:v>
                </c:pt>
                <c:pt idx="1">
                  <c:v>33</c:v>
                </c:pt>
                <c:pt idx="2">
                  <c:v>38</c:v>
                </c:pt>
                <c:pt idx="3">
                  <c:v>45</c:v>
                </c:pt>
                <c:pt idx="4">
                  <c:v>40</c:v>
                </c:pt>
              </c:numCache>
            </c:numRef>
          </c:val>
          <c:smooth val="0"/>
          <c:extLst xmlns:c16r2="http://schemas.microsoft.com/office/drawing/2015/06/chart">
            <c:ext xmlns:c16="http://schemas.microsoft.com/office/drawing/2014/chart" uri="{C3380CC4-5D6E-409C-BE32-E72D297353CC}">
              <c16:uniqueId val="{00000001-27DB-4A9A-8577-CB40B00F25D9}"/>
            </c:ext>
          </c:extLst>
        </c:ser>
        <c:dLbls>
          <c:showLegendKey val="0"/>
          <c:showVal val="0"/>
          <c:showCatName val="0"/>
          <c:showSerName val="0"/>
          <c:showPercent val="0"/>
          <c:showBubbleSize val="0"/>
        </c:dLbls>
        <c:marker val="1"/>
        <c:smooth val="0"/>
        <c:axId val="225243904"/>
        <c:axId val="225245440"/>
      </c:lineChart>
      <c:catAx>
        <c:axId val="225243904"/>
        <c:scaling>
          <c:orientation val="minMax"/>
        </c:scaling>
        <c:delete val="0"/>
        <c:axPos val="b"/>
        <c:numFmt formatCode="General" sourceLinked="1"/>
        <c:majorTickMark val="none"/>
        <c:minorTickMark val="none"/>
        <c:tickLblPos val="nextTo"/>
        <c:spPr>
          <a:noFill/>
          <a:ln w="12686"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225245440"/>
        <c:crosses val="autoZero"/>
        <c:auto val="1"/>
        <c:lblAlgn val="ctr"/>
        <c:lblOffset val="100"/>
        <c:noMultiLvlLbl val="0"/>
      </c:catAx>
      <c:valAx>
        <c:axId val="225245440"/>
        <c:scaling>
          <c:orientation val="minMax"/>
          <c:min val="20"/>
        </c:scaling>
        <c:delete val="1"/>
        <c:axPos val="l"/>
        <c:majorGridlines>
          <c:spPr>
            <a:ln w="9515" cap="flat" cmpd="sng" algn="ctr">
              <a:solidFill>
                <a:schemeClr val="tx1">
                  <a:lumMod val="15000"/>
                  <a:lumOff val="85000"/>
                </a:schemeClr>
              </a:solidFill>
              <a:round/>
            </a:ln>
            <a:effectLst/>
          </c:spPr>
        </c:majorGridlines>
        <c:numFmt formatCode="General" sourceLinked="1"/>
        <c:majorTickMark val="out"/>
        <c:minorTickMark val="none"/>
        <c:tickLblPos val="nextTo"/>
        <c:crossAx val="225243904"/>
        <c:crosses val="autoZero"/>
        <c:crossBetween val="between"/>
      </c:valAx>
      <c:spPr>
        <a:noFill/>
        <a:ln w="25372">
          <a:noFill/>
        </a:ln>
      </c:spPr>
    </c:plotArea>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7"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US" sz="1097" b="0" baseline="0">
                <a:solidFill>
                  <a:srgbClr val="002060"/>
                </a:solidFill>
                <a:latin typeface="Arial" panose="020B0604020202020204" pitchFamily="34" charset="0"/>
                <a:ea typeface="Verdana" panose="020B0604030504040204" pitchFamily="34" charset="0"/>
                <a:cs typeface="Arial" panose="020B0604020202020204" pitchFamily="34" charset="0"/>
              </a:rPr>
              <a:t>13 new </a:t>
            </a:r>
            <a:r>
              <a:rPr lang="en-US" sz="1097"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against</a:t>
            </a:r>
            <a:r>
              <a:rPr lang="en-US" sz="1097" b="0" baseline="0">
                <a:solidFill>
                  <a:srgbClr val="002060"/>
                </a:solidFill>
                <a:latin typeface="Arial" panose="020B0604020202020204" pitchFamily="34" charset="0"/>
                <a:ea typeface="Verdana" panose="020B0604030504040204" pitchFamily="34" charset="0"/>
                <a:cs typeface="Arial" panose="020B0604020202020204" pitchFamily="34" charset="0"/>
              </a:rPr>
              <a:t> </a:t>
            </a:r>
            <a:r>
              <a:rPr lang="en-US" sz="1097"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Netherlands</a:t>
            </a:r>
            <a:endParaRPr lang="en-US"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6218115768277933"/>
          <c:y val="3.2786938397406207E-2"/>
        </c:manualLayout>
      </c:layout>
      <c:overlay val="0"/>
      <c:spPr>
        <a:noFill/>
        <a:ln w="25321">
          <a:noFill/>
        </a:ln>
      </c:spPr>
    </c:title>
    <c:autoTitleDeleted val="0"/>
    <c:plotArea>
      <c:layout/>
      <c:pieChart>
        <c:varyColors val="1"/>
        <c:ser>
          <c:idx val="0"/>
          <c:order val="0"/>
          <c:tx>
            <c:strRef>
              <c:f>Blad1!$B$1</c:f>
              <c:strCache>
                <c:ptCount val="1"/>
                <c:pt idx="0">
                  <c:v>[Number of infringement cases] infringement cases against Austria</c:v>
                </c:pt>
              </c:strCache>
            </c:strRef>
          </c:tx>
          <c:spPr>
            <a:scene3d>
              <a:camera prst="orthographicFront"/>
              <a:lightRig rig="threePt" dir="t"/>
            </a:scene3d>
            <a:sp3d>
              <a:bevelT w="63500" h="25400"/>
            </a:sp3d>
          </c:spPr>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C142-440D-9E91-F1E44807CA89}"/>
              </c:ext>
            </c:extLst>
          </c:dPt>
          <c:dPt>
            <c:idx val="1"/>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C142-440D-9E91-F1E44807CA89}"/>
              </c:ext>
            </c:extLst>
          </c:dPt>
          <c:dPt>
            <c:idx val="2"/>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C142-440D-9E91-F1E44807CA89}"/>
              </c:ext>
            </c:extLst>
          </c:dPt>
          <c:dPt>
            <c:idx val="3"/>
            <c:bubble3D val="0"/>
            <c:spPr>
              <a:solidFill>
                <a:srgbClr val="E7511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C142-440D-9E91-F1E44807CA89}"/>
              </c:ext>
            </c:extLst>
          </c:dPt>
          <c:dPt>
            <c:idx val="4"/>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C142-440D-9E91-F1E44807CA89}"/>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142-440D-9E91-F1E44807CA89}"/>
                </c:ext>
              </c:extLst>
            </c:dLbl>
            <c:dLbl>
              <c:idx val="1"/>
              <c:layout>
                <c:manualLayout>
                  <c:x val="-2.5148682695286698E-2"/>
                  <c:y val="0.2098176075448196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C142-440D-9E91-F1E44807CA89}"/>
                </c:ext>
              </c:extLst>
            </c:dLbl>
            <c:dLbl>
              <c:idx val="2"/>
              <c:layout>
                <c:manualLayout>
                  <c:x val="-1.4015163472049291E-2"/>
                  <c:y val="8.124916588816227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C142-440D-9E91-F1E44807CA89}"/>
                </c:ext>
              </c:extLst>
            </c:dLbl>
            <c:dLbl>
              <c:idx val="3"/>
              <c:layout>
                <c:manualLayout>
                  <c:x val="-3.1608298405906387E-3"/>
                  <c:y val="9.0128564437919837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C142-440D-9E91-F1E44807CA89}"/>
                </c:ext>
              </c:extLst>
            </c:dLbl>
            <c:dLbl>
              <c:idx val="4"/>
              <c:layout>
                <c:manualLayout>
                  <c:x val="-0.20908358615529407"/>
                  <c:y val="-8.005115885937987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C142-440D-9E91-F1E44807CA89}"/>
                </c:ext>
              </c:extLst>
            </c:dLbl>
            <c:dLbl>
              <c:idx val="5"/>
              <c:layout>
                <c:manualLayout>
                  <c:x val="-2.7731558513588465E-3"/>
                  <c:y val="-3.2786885245901641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C142-440D-9E91-F1E44807CA89}"/>
                </c:ext>
              </c:extLst>
            </c:dLbl>
            <c:dLbl>
              <c:idx val="6"/>
              <c:layout>
                <c:manualLayout>
                  <c:x val="0"/>
                  <c:y val="1.6393442622950821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C142-440D-9E91-F1E44807CA89}"/>
                </c:ext>
              </c:extLst>
            </c:dLbl>
            <c:spPr>
              <a:noFill/>
              <a:ln w="25321">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Blad1!$A$2:$A$6</c:f>
              <c:strCache>
                <c:ptCount val="5"/>
                <c:pt idx="0">
                  <c:v>Policy Area</c:v>
                </c:pt>
                <c:pt idx="1">
                  <c:v>Financial stability, financial services and Capital Markets Union</c:v>
                </c:pt>
                <c:pt idx="2">
                  <c:v>Mobility and transport</c:v>
                </c:pt>
                <c:pt idx="3">
                  <c:v>Energy</c:v>
                </c:pt>
                <c:pt idx="4">
                  <c:v>Other</c:v>
                </c:pt>
              </c:strCache>
            </c:strRef>
          </c:cat>
          <c:val>
            <c:numRef>
              <c:f>Blad1!$B$2:$B$6</c:f>
              <c:numCache>
                <c:formatCode>General</c:formatCode>
                <c:ptCount val="5"/>
                <c:pt idx="0">
                  <c:v>0</c:v>
                </c:pt>
                <c:pt idx="1">
                  <c:v>4</c:v>
                </c:pt>
                <c:pt idx="2">
                  <c:v>2</c:v>
                </c:pt>
                <c:pt idx="3">
                  <c:v>2</c:v>
                </c:pt>
                <c:pt idx="4">
                  <c:v>5</c:v>
                </c:pt>
              </c:numCache>
            </c:numRef>
          </c:val>
          <c:extLst xmlns:c16r2="http://schemas.microsoft.com/office/drawing/2015/06/chart">
            <c:ext xmlns:c16="http://schemas.microsoft.com/office/drawing/2014/chart" uri="{C3380CC4-5D6E-409C-BE32-E72D297353CC}">
              <c16:uniqueId val="{0000000C-C142-440D-9E91-F1E44807CA89}"/>
            </c:ext>
          </c:extLst>
        </c:ser>
        <c:dLbls>
          <c:showLegendKey val="0"/>
          <c:showVal val="0"/>
          <c:showCatName val="0"/>
          <c:showSerName val="0"/>
          <c:showPercent val="0"/>
          <c:showBubbleSize val="0"/>
          <c:showLeaderLines val="0"/>
        </c:dLbls>
        <c:firstSliceAng val="248"/>
      </c:pieChart>
      <c:spPr>
        <a:noFill/>
        <a:ln w="25321">
          <a:noFill/>
        </a:ln>
      </c:spPr>
    </c:plotArea>
    <c:plotVisOnly val="1"/>
    <c:dispBlanksAs val="gap"/>
    <c:showDLblsOverMax val="0"/>
  </c:chart>
  <c:spPr>
    <a:solidFill>
      <a:schemeClr val="bg1"/>
    </a:solidFill>
    <a:ln w="949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4.2177298553155065E-2"/>
                  <c:y val="8.144120650513540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14D6-43B8-9D61-B3A6D4ACEB68}"/>
                </c:ext>
              </c:extLst>
            </c:dLbl>
            <c:spPr>
              <a:noFill/>
              <a:ln w="25384">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Blad1!$A$2:$A$6</c:f>
              <c:numCache>
                <c:formatCode>General</c:formatCode>
                <c:ptCount val="5"/>
                <c:pt idx="0">
                  <c:v>2013</c:v>
                </c:pt>
                <c:pt idx="1">
                  <c:v>2014</c:v>
                </c:pt>
                <c:pt idx="2">
                  <c:v>2015</c:v>
                </c:pt>
                <c:pt idx="3">
                  <c:v>2016</c:v>
                </c:pt>
                <c:pt idx="4">
                  <c:v>2017</c:v>
                </c:pt>
              </c:numCache>
            </c:numRef>
          </c:cat>
          <c:val>
            <c:numRef>
              <c:f>Blad1!$B$2:$B$6</c:f>
              <c:numCache>
                <c:formatCode>General</c:formatCode>
                <c:ptCount val="5"/>
                <c:pt idx="0">
                  <c:v>10</c:v>
                </c:pt>
                <c:pt idx="1">
                  <c:v>10</c:v>
                </c:pt>
                <c:pt idx="2">
                  <c:v>14</c:v>
                </c:pt>
                <c:pt idx="3">
                  <c:v>23</c:v>
                </c:pt>
                <c:pt idx="4">
                  <c:v>19</c:v>
                </c:pt>
              </c:numCache>
            </c:numRef>
          </c:val>
          <c:smooth val="0"/>
          <c:extLst xmlns:c16r2="http://schemas.microsoft.com/office/drawing/2015/06/chart">
            <c:ext xmlns:c16="http://schemas.microsoft.com/office/drawing/2014/chart" uri="{C3380CC4-5D6E-409C-BE32-E72D297353CC}">
              <c16:uniqueId val="{00000001-14D6-43B8-9D61-B3A6D4ACEB68}"/>
            </c:ext>
          </c:extLst>
        </c:ser>
        <c:dLbls>
          <c:showLegendKey val="0"/>
          <c:showVal val="0"/>
          <c:showCatName val="0"/>
          <c:showSerName val="0"/>
          <c:showPercent val="0"/>
          <c:showBubbleSize val="0"/>
        </c:dLbls>
        <c:marker val="1"/>
        <c:smooth val="0"/>
        <c:axId val="226402688"/>
        <c:axId val="226404224"/>
      </c:lineChart>
      <c:catAx>
        <c:axId val="226402688"/>
        <c:scaling>
          <c:orientation val="minMax"/>
        </c:scaling>
        <c:delete val="0"/>
        <c:axPos val="b"/>
        <c:numFmt formatCode="General" sourceLinked="1"/>
        <c:majorTickMark val="none"/>
        <c:minorTickMark val="none"/>
        <c:tickLblPos val="nextTo"/>
        <c:spPr>
          <a:noFill/>
          <a:ln w="12692"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226404224"/>
        <c:crosses val="autoZero"/>
        <c:auto val="1"/>
        <c:lblAlgn val="ctr"/>
        <c:lblOffset val="100"/>
        <c:noMultiLvlLbl val="0"/>
      </c:catAx>
      <c:valAx>
        <c:axId val="226404224"/>
        <c:scaling>
          <c:orientation val="minMax"/>
        </c:scaling>
        <c:delete val="1"/>
        <c:axPos val="l"/>
        <c:majorGridlines>
          <c:spPr>
            <a:ln w="9519" cap="flat" cmpd="sng" algn="ctr">
              <a:solidFill>
                <a:schemeClr val="tx1">
                  <a:lumMod val="15000"/>
                  <a:lumOff val="85000"/>
                </a:schemeClr>
              </a:solidFill>
              <a:round/>
            </a:ln>
            <a:effectLst/>
          </c:spPr>
        </c:majorGridlines>
        <c:numFmt formatCode="General" sourceLinked="1"/>
        <c:majorTickMark val="out"/>
        <c:minorTickMark val="none"/>
        <c:tickLblPos val="nextTo"/>
        <c:crossAx val="226402688"/>
        <c:crosses val="autoZero"/>
        <c:crossBetween val="between"/>
      </c:valAx>
      <c:spPr>
        <a:noFill/>
        <a:ln w="25384">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0"/>
              <c:layout>
                <c:manualLayout>
                  <c:x val="-3.3906444833930641E-2"/>
                  <c:y val="6.748102194296419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FA36-4466-A653-D20F930F3611}"/>
                </c:ext>
              </c:extLst>
            </c:dLbl>
            <c:dLbl>
              <c:idx val="1"/>
              <c:layout>
                <c:manualLayout>
                  <c:x val="-3.6630986850437371E-2"/>
                  <c:y val="6.536361411415203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FA36-4466-A653-D20F930F3611}"/>
                </c:ext>
              </c:extLst>
            </c:dLbl>
            <c:dLbl>
              <c:idx val="3"/>
              <c:layout>
                <c:manualLayout>
                  <c:x val="-3.6585397755513116E-2"/>
                  <c:y val="-9.282015253143861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6FFC-4319-A894-AD9931BDB2EA}"/>
                </c:ext>
              </c:extLst>
            </c:dLbl>
            <c:spPr>
              <a:noFill/>
              <a:ln w="25382">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Blad1!$A$2:$A$6</c:f>
              <c:numCache>
                <c:formatCode>General</c:formatCode>
                <c:ptCount val="5"/>
                <c:pt idx="0">
                  <c:v>2013</c:v>
                </c:pt>
                <c:pt idx="1">
                  <c:v>2014</c:v>
                </c:pt>
                <c:pt idx="2">
                  <c:v>2015</c:v>
                </c:pt>
                <c:pt idx="3">
                  <c:v>2016</c:v>
                </c:pt>
                <c:pt idx="4">
                  <c:v>2017</c:v>
                </c:pt>
              </c:numCache>
            </c:numRef>
          </c:cat>
          <c:val>
            <c:numRef>
              <c:f>Blad1!$B$2:$B$6</c:f>
              <c:numCache>
                <c:formatCode>General</c:formatCode>
                <c:ptCount val="5"/>
                <c:pt idx="0">
                  <c:v>9</c:v>
                </c:pt>
                <c:pt idx="1">
                  <c:v>9</c:v>
                </c:pt>
                <c:pt idx="2">
                  <c:v>11</c:v>
                </c:pt>
                <c:pt idx="3">
                  <c:v>20</c:v>
                </c:pt>
                <c:pt idx="4">
                  <c:v>9</c:v>
                </c:pt>
              </c:numCache>
            </c:numRef>
          </c:val>
          <c:smooth val="0"/>
          <c:extLst xmlns:c16r2="http://schemas.microsoft.com/office/drawing/2015/06/chart">
            <c:ext xmlns:c16="http://schemas.microsoft.com/office/drawing/2014/chart" uri="{C3380CC4-5D6E-409C-BE32-E72D297353CC}">
              <c16:uniqueId val="{00000002-FA36-4466-A653-D20F930F3611}"/>
            </c:ext>
          </c:extLst>
        </c:ser>
        <c:dLbls>
          <c:showLegendKey val="0"/>
          <c:showVal val="0"/>
          <c:showCatName val="0"/>
          <c:showSerName val="0"/>
          <c:showPercent val="0"/>
          <c:showBubbleSize val="0"/>
        </c:dLbls>
        <c:marker val="1"/>
        <c:smooth val="0"/>
        <c:axId val="226954624"/>
        <c:axId val="226964608"/>
      </c:lineChart>
      <c:catAx>
        <c:axId val="226954624"/>
        <c:scaling>
          <c:orientation val="minMax"/>
        </c:scaling>
        <c:delete val="0"/>
        <c:axPos val="b"/>
        <c:numFmt formatCode="General" sourceLinked="1"/>
        <c:majorTickMark val="none"/>
        <c:minorTickMark val="none"/>
        <c:tickLblPos val="nextTo"/>
        <c:spPr>
          <a:noFill/>
          <a:ln w="12691"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226964608"/>
        <c:crosses val="autoZero"/>
        <c:auto val="1"/>
        <c:lblAlgn val="ctr"/>
        <c:lblOffset val="100"/>
        <c:noMultiLvlLbl val="0"/>
      </c:catAx>
      <c:valAx>
        <c:axId val="226964608"/>
        <c:scaling>
          <c:orientation val="minMax"/>
        </c:scaling>
        <c:delete val="1"/>
        <c:axPos val="l"/>
        <c:majorGridlines>
          <c:spPr>
            <a:ln w="9518" cap="flat" cmpd="sng" algn="ctr">
              <a:solidFill>
                <a:schemeClr val="tx1">
                  <a:lumMod val="15000"/>
                  <a:lumOff val="85000"/>
                </a:schemeClr>
              </a:solidFill>
              <a:round/>
            </a:ln>
            <a:effectLst/>
          </c:spPr>
        </c:majorGridlines>
        <c:numFmt formatCode="General" sourceLinked="1"/>
        <c:majorTickMark val="out"/>
        <c:minorTickMark val="none"/>
        <c:tickLblPos val="nextTo"/>
        <c:crossAx val="226954624"/>
        <c:crosses val="autoZero"/>
        <c:crossBetween val="between"/>
      </c:valAx>
      <c:spPr>
        <a:noFill/>
        <a:ln w="25382">
          <a:noFill/>
        </a:ln>
      </c:spPr>
    </c:plotArea>
    <c:plotVisOnly val="1"/>
    <c:dispBlanksAs val="gap"/>
    <c:showDLblsOverMax val="0"/>
  </c:chart>
  <c:spPr>
    <a:solidFill>
      <a:schemeClr val="bg1"/>
    </a:solidFill>
    <a:ln w="9518"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7"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nl-BE" sz="1097" b="0" baseline="0">
                <a:solidFill>
                  <a:srgbClr val="002060"/>
                </a:solidFill>
                <a:latin typeface="Arial" panose="020B0604020202020204" pitchFamily="34" charset="0"/>
                <a:ea typeface="Verdana" panose="020B0604030504040204" pitchFamily="34" charset="0"/>
                <a:cs typeface="Arial" panose="020B0604020202020204" pitchFamily="34" charset="0"/>
              </a:rPr>
              <a:t> 9 new </a:t>
            </a:r>
            <a:r>
              <a:rPr lang="nl-BE" sz="1097" b="0">
                <a:solidFill>
                  <a:srgbClr val="002060"/>
                </a:solidFill>
                <a:latin typeface="Arial" panose="020B0604020202020204" pitchFamily="34" charset="0"/>
                <a:ea typeface="Verdana" panose="020B0604030504040204" pitchFamily="34" charset="0"/>
                <a:cs typeface="Arial" panose="020B0604020202020204" pitchFamily="34" charset="0"/>
              </a:rPr>
              <a:t>late transposition infringement cases against </a:t>
            </a:r>
            <a:r>
              <a:rPr lang="en-GB" sz="1097"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Netherlands</a:t>
            </a:r>
            <a:endParaRPr lang="nl-BE"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w="25340">
          <a:noFill/>
        </a:ln>
      </c:spPr>
    </c:title>
    <c:autoTitleDeleted val="0"/>
    <c:plotArea>
      <c:layout>
        <c:manualLayout>
          <c:layoutTarget val="inner"/>
          <c:xMode val="edge"/>
          <c:yMode val="edge"/>
          <c:x val="0.31614720034995625"/>
          <c:y val="0.26226409198850142"/>
          <c:w val="0.3723354111986002"/>
          <c:h val="0.6382892763404574"/>
        </c:manualLayout>
      </c:layout>
      <c:pieChart>
        <c:varyColors val="1"/>
        <c:ser>
          <c:idx val="0"/>
          <c:order val="0"/>
          <c:tx>
            <c:strRef>
              <c:f>Blad1!$B$1</c:f>
              <c:strCache>
                <c:ptCount val="1"/>
                <c:pt idx="0">
                  <c:v>[Number of late transposition cases] late transposition cases against [Member State]</c:v>
                </c:pt>
              </c:strCache>
            </c:strRef>
          </c:tx>
          <c:spPr>
            <a:scene3d>
              <a:camera prst="orthographicFront"/>
              <a:lightRig rig="threePt" dir="t"/>
            </a:scene3d>
            <a:sp3d>
              <a:bevelT w="63500" h="25400"/>
            </a:sp3d>
          </c:spPr>
          <c:dPt>
            <c:idx val="0"/>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CEA4-49BE-A41E-FF6429334164}"/>
              </c:ext>
            </c:extLst>
          </c:dPt>
          <c:dPt>
            <c:idx val="1"/>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CEA4-49BE-A41E-FF6429334164}"/>
              </c:ext>
            </c:extLst>
          </c:dPt>
          <c:dPt>
            <c:idx val="2"/>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CEA4-49BE-A41E-FF6429334164}"/>
              </c:ext>
            </c:extLst>
          </c:dPt>
          <c:dLbls>
            <c:dLbl>
              <c:idx val="0"/>
              <c:layout>
                <c:manualLayout>
                  <c:x val="-9.356491561215971E-3"/>
                  <c:y val="0.1592289488404113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CEA4-49BE-A41E-FF6429334164}"/>
                </c:ext>
              </c:extLst>
            </c:dLbl>
            <c:dLbl>
              <c:idx val="1"/>
              <c:layout>
                <c:manualLayout>
                  <c:x val="-3.8843398213476953E-2"/>
                  <c:y val="-5.5845273439180755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CEA4-49BE-A41E-FF6429334164}"/>
                </c:ext>
              </c:extLst>
            </c:dLbl>
            <c:dLbl>
              <c:idx val="2"/>
              <c:layout>
                <c:manualLayout>
                  <c:x val="0.11657013767249988"/>
                  <c:y val="-0.12021900950905727"/>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CEA4-49BE-A41E-FF6429334164}"/>
                </c:ext>
              </c:extLst>
            </c:dLbl>
            <c:dLbl>
              <c:idx val="3"/>
              <c:layout>
                <c:manualLayout>
                  <c:x val="2.7685492801771874E-3"/>
                  <c:y val="-1.6835016835016835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EA4-49BE-A41E-FF6429334164}"/>
                </c:ext>
              </c:extLst>
            </c:dLbl>
            <c:dLbl>
              <c:idx val="4"/>
              <c:layout>
                <c:manualLayout>
                  <c:x val="0"/>
                  <c:y val="-1.96739927711055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EA4-49BE-A41E-FF6429334164}"/>
                </c:ext>
              </c:extLst>
            </c:dLbl>
            <c:spPr>
              <a:noFill/>
              <a:ln w="25340">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Blad1!$A$4:$A$6</c:f>
              <c:strCache>
                <c:ptCount val="3"/>
                <c:pt idx="0">
                  <c:v>Financial stability, financial services and Capital Markets Union</c:v>
                </c:pt>
                <c:pt idx="1">
                  <c:v>Mobility and transport</c:v>
                </c:pt>
                <c:pt idx="2">
                  <c:v>Other</c:v>
                </c:pt>
              </c:strCache>
            </c:strRef>
          </c:cat>
          <c:val>
            <c:numRef>
              <c:f>Blad1!$B$4:$B$6</c:f>
              <c:numCache>
                <c:formatCode>General</c:formatCode>
                <c:ptCount val="3"/>
                <c:pt idx="0">
                  <c:v>4</c:v>
                </c:pt>
                <c:pt idx="1">
                  <c:v>2</c:v>
                </c:pt>
                <c:pt idx="2">
                  <c:v>3</c:v>
                </c:pt>
              </c:numCache>
            </c:numRef>
          </c:val>
          <c:extLst xmlns:c16r2="http://schemas.microsoft.com/office/drawing/2015/06/chart">
            <c:ext xmlns:c16="http://schemas.microsoft.com/office/drawing/2014/chart" uri="{C3380CC4-5D6E-409C-BE32-E72D297353CC}">
              <c16:uniqueId val="{00000008-CEA4-49BE-A41E-FF6429334164}"/>
            </c:ext>
          </c:extLst>
        </c:ser>
        <c:dLbls>
          <c:showLegendKey val="0"/>
          <c:showVal val="0"/>
          <c:showCatName val="0"/>
          <c:showSerName val="0"/>
          <c:showPercent val="0"/>
          <c:showBubbleSize val="0"/>
          <c:showLeaderLines val="0"/>
        </c:dLbls>
        <c:firstSliceAng val="223"/>
      </c:pieChart>
      <c:spPr>
        <a:noFill/>
        <a:ln w="25340">
          <a:noFill/>
        </a:ln>
      </c:spPr>
    </c:plotArea>
    <c:plotVisOnly val="1"/>
    <c:dispBlanksAs val="gap"/>
    <c:showDLblsOverMax val="0"/>
  </c:chart>
  <c:spPr>
    <a:solidFill>
      <a:schemeClr val="bg1"/>
    </a:solidFill>
    <a:ln w="9502"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280946076430702E-2"/>
          <c:y val="5.5813953488372092E-2"/>
          <c:w val="0.89092585489306109"/>
          <c:h val="0.83976585414414306"/>
        </c:manualLayout>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8.8374655647382921E-2"/>
                  <c:y val="5.337264756799017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220A-4BE0-A570-4206A5A62792}"/>
                </c:ext>
              </c:extLst>
            </c:dLbl>
            <c:dLbl>
              <c:idx val="1"/>
              <c:layout>
                <c:manualLayout>
                  <c:x val="-4.9865946508752521E-2"/>
                  <c:y val="7.691592061266314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220A-4BE0-A570-4206A5A62792}"/>
                </c:ext>
              </c:extLst>
            </c:dLbl>
            <c:spPr>
              <a:noFill/>
              <a:ln w="25368">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Blad1!$A$3:$A$8</c:f>
              <c:numCache>
                <c:formatCode>General</c:formatCode>
                <c:ptCount val="6"/>
                <c:pt idx="0">
                  <c:v>2012</c:v>
                </c:pt>
                <c:pt idx="1">
                  <c:v>2013</c:v>
                </c:pt>
                <c:pt idx="2">
                  <c:v>2014</c:v>
                </c:pt>
                <c:pt idx="3">
                  <c:v>2015</c:v>
                </c:pt>
                <c:pt idx="4">
                  <c:v>2016</c:v>
                </c:pt>
                <c:pt idx="5">
                  <c:v>2017</c:v>
                </c:pt>
              </c:numCache>
            </c:numRef>
          </c:cat>
          <c:val>
            <c:numRef>
              <c:f>Blad1!$B$3:$B$8</c:f>
              <c:numCache>
                <c:formatCode>General</c:formatCode>
                <c:ptCount val="6"/>
                <c:pt idx="0">
                  <c:v>116</c:v>
                </c:pt>
                <c:pt idx="1">
                  <c:v>89</c:v>
                </c:pt>
                <c:pt idx="2">
                  <c:v>78</c:v>
                </c:pt>
                <c:pt idx="3">
                  <c:v>99</c:v>
                </c:pt>
                <c:pt idx="4">
                  <c:v>103</c:v>
                </c:pt>
                <c:pt idx="5">
                  <c:v>117</c:v>
                </c:pt>
              </c:numCache>
            </c:numRef>
          </c:val>
          <c:smooth val="0"/>
          <c:extLst xmlns:c16r2="http://schemas.microsoft.com/office/drawing/2015/06/chart">
            <c:ext xmlns:c16="http://schemas.microsoft.com/office/drawing/2014/chart" uri="{C3380CC4-5D6E-409C-BE32-E72D297353CC}">
              <c16:uniqueId val="{00000002-220A-4BE0-A570-4206A5A62792}"/>
            </c:ext>
          </c:extLst>
        </c:ser>
        <c:dLbls>
          <c:showLegendKey val="0"/>
          <c:showVal val="0"/>
          <c:showCatName val="0"/>
          <c:showSerName val="0"/>
          <c:showPercent val="0"/>
          <c:showBubbleSize val="0"/>
        </c:dLbls>
        <c:marker val="1"/>
        <c:smooth val="0"/>
        <c:axId val="228140160"/>
        <c:axId val="228141696"/>
      </c:lineChart>
      <c:catAx>
        <c:axId val="228140160"/>
        <c:scaling>
          <c:orientation val="minMax"/>
        </c:scaling>
        <c:delete val="0"/>
        <c:axPos val="b"/>
        <c:numFmt formatCode="General" sourceLinked="1"/>
        <c:majorTickMark val="none"/>
        <c:minorTickMark val="none"/>
        <c:tickLblPos val="nextTo"/>
        <c:spPr>
          <a:noFill/>
          <a:ln w="12684"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228141696"/>
        <c:crosses val="autoZero"/>
        <c:auto val="1"/>
        <c:lblAlgn val="ctr"/>
        <c:lblOffset val="100"/>
        <c:noMultiLvlLbl val="0"/>
      </c:catAx>
      <c:valAx>
        <c:axId val="228141696"/>
        <c:scaling>
          <c:orientation val="minMax"/>
          <c:min val="70"/>
        </c:scaling>
        <c:delete val="1"/>
        <c:axPos val="l"/>
        <c:majorGridlines>
          <c:spPr>
            <a:ln w="9513" cap="flat" cmpd="sng" algn="ctr">
              <a:solidFill>
                <a:schemeClr val="tx1">
                  <a:lumMod val="15000"/>
                  <a:lumOff val="85000"/>
                </a:schemeClr>
              </a:solidFill>
              <a:round/>
            </a:ln>
            <a:effectLst/>
          </c:spPr>
        </c:majorGridlines>
        <c:numFmt formatCode="General" sourceLinked="1"/>
        <c:majorTickMark val="out"/>
        <c:minorTickMark val="none"/>
        <c:tickLblPos val="nextTo"/>
        <c:crossAx val="228140160"/>
        <c:crosses val="autoZero"/>
        <c:crossBetween val="between"/>
      </c:valAx>
      <c:spPr>
        <a:noFill/>
        <a:ln w="25368">
          <a:noFill/>
        </a:ln>
      </c:spPr>
    </c:plotArea>
    <c:plotVisOnly val="1"/>
    <c:dispBlanksAs val="gap"/>
    <c:showDLblsOverMax val="0"/>
  </c:chart>
  <c:spPr>
    <a:solidFill>
      <a:schemeClr val="bg1"/>
    </a:solidFill>
    <a:ln w="9513"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mn-lt"/>
                <a:ea typeface="+mn-ea"/>
                <a:cs typeface="+mn-cs"/>
              </a:defRPr>
            </a:pPr>
            <a:r>
              <a:rPr lang="en-US" sz="1100" b="0" i="0">
                <a:solidFill>
                  <a:srgbClr val="002060"/>
                </a:solidFill>
                <a:latin typeface="Arial" panose="020B0604020202020204" pitchFamily="34" charset="0"/>
                <a:ea typeface="Verdana" panose="020B0604030504040204" pitchFamily="34" charset="0"/>
                <a:cs typeface="Arial" panose="020B0604020202020204" pitchFamily="34" charset="0"/>
              </a:rPr>
              <a:t>117 complaints made against Austria</a:t>
            </a:r>
          </a:p>
        </c:rich>
      </c:tx>
      <c:overlay val="0"/>
      <c:spPr>
        <a:noFill/>
        <a:ln>
          <a:noFill/>
        </a:ln>
        <a:effectLst/>
      </c:spPr>
    </c:title>
    <c:autoTitleDeleted val="0"/>
    <c:plotArea>
      <c:layout/>
      <c:pieChart>
        <c:varyColors val="1"/>
        <c:ser>
          <c:idx val="0"/>
          <c:order val="0"/>
          <c:tx>
            <c:strRef>
              <c:f>Blad1!$B$1</c:f>
              <c:strCache>
                <c:ptCount val="1"/>
                <c:pt idx="0">
                  <c:v>[Number of new complaints] complaints made against [Member State]</c:v>
                </c:pt>
              </c:strCache>
            </c:strRef>
          </c:tx>
          <c:spPr>
            <a:scene3d>
              <a:camera prst="orthographicFront"/>
              <a:lightRig rig="threePt" dir="t"/>
            </a:scene3d>
            <a:sp3d>
              <a:bevelT w="63500" h="25400"/>
            </a:sp3d>
          </c:spPr>
          <c:dPt>
            <c:idx val="0"/>
            <c:bubble3D val="0"/>
            <c:spPr>
              <a:solidFill>
                <a:srgbClr val="FFD617"/>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4955-4843-8095-8DFF46074E21}"/>
              </c:ext>
            </c:extLst>
          </c:dPt>
          <c:dPt>
            <c:idx val="1"/>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4955-4843-8095-8DFF46074E21}"/>
              </c:ext>
            </c:extLst>
          </c:dPt>
          <c:dPt>
            <c:idx val="2"/>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4955-4843-8095-8DFF46074E21}"/>
              </c:ext>
            </c:extLst>
          </c:dPt>
          <c:dPt>
            <c:idx val="3"/>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4955-4843-8095-8DFF46074E21}"/>
              </c:ext>
            </c:extLst>
          </c:dPt>
          <c:dPt>
            <c:idx val="4"/>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4955-4843-8095-8DFF46074E21}"/>
              </c:ext>
            </c:extLst>
          </c:dPt>
          <c:dLbls>
            <c:dLbl>
              <c:idx val="0"/>
              <c:layout>
                <c:manualLayout>
                  <c:x val="-7.6925940958411126E-2"/>
                  <c:y val="9.988633310599955E-2"/>
                </c:manualLayout>
              </c:layout>
              <c:tx>
                <c:rich>
                  <a:bodyPr/>
                  <a:lstStyle/>
                  <a:p>
                    <a:r>
                      <a:rPr lang="en-US" sz="900"/>
                      <a:t>Employment
24</a:t>
                    </a:r>
                  </a:p>
                </c:rich>
              </c:tx>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4955-4843-8095-8DFF46074E21}"/>
                </c:ext>
              </c:extLst>
            </c:dLbl>
            <c:dLbl>
              <c:idx val="1"/>
              <c:layout>
                <c:manualLayout>
                  <c:x val="-2.4745731525827312E-2"/>
                  <c:y val="1.0456940913881827E-2"/>
                </c:manualLayout>
              </c:layout>
              <c:tx>
                <c:rich>
                  <a:bodyPr/>
                  <a:lstStyle/>
                  <a:p>
                    <a:r>
                      <a:rPr lang="en-US" sz="900"/>
                      <a:t>Mobility and transport
23</a:t>
                    </a:r>
                    <a:endParaRPr lang="en-US" sz="850"/>
                  </a:p>
                </c:rich>
              </c:tx>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4955-4843-8095-8DFF46074E21}"/>
                </c:ext>
              </c:extLst>
            </c:dLbl>
            <c:dLbl>
              <c:idx val="2"/>
              <c:layout>
                <c:manualLayout>
                  <c:x val="3.3005492870092266E-2"/>
                  <c:y val="-5.774278215223097E-2"/>
                </c:manualLayout>
              </c:layout>
              <c:spPr/>
              <c:txPr>
                <a:bodyPr/>
                <a:lstStyle/>
                <a:p>
                  <a:pPr>
                    <a:defRPr sz="820">
                      <a:latin typeface="Arial" panose="020B060402020202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4955-4843-8095-8DFF46074E21}"/>
                </c:ext>
              </c:extLst>
            </c:dLbl>
            <c:dLbl>
              <c:idx val="3"/>
              <c:layout>
                <c:manualLayout>
                  <c:x val="-5.7752306734853993E-2"/>
                  <c:y val="-0.21522309711286081"/>
                </c:manualLayout>
              </c:layout>
              <c:tx>
                <c:rich>
                  <a:bodyPr/>
                  <a:lstStyle/>
                  <a:p>
                    <a:r>
                      <a:rPr lang="en-US" sz="900"/>
                      <a:t>Other
50</a:t>
                    </a:r>
                    <a:endParaRPr lang="en-US" sz="850"/>
                  </a:p>
                </c:rich>
              </c:tx>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4955-4843-8095-8DFF46074E21}"/>
                </c:ext>
              </c:extLst>
            </c:dLbl>
            <c:dLbl>
              <c:idx val="4"/>
              <c:layout>
                <c:manualLayout>
                  <c:x val="-1.1001100110010976E-2"/>
                  <c:y val="-0.11041009463722397"/>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955-4843-8095-8DFF46074E21}"/>
                </c:ext>
              </c:extLst>
            </c:dLbl>
            <c:spPr>
              <a:noFill/>
              <a:ln>
                <a:noFill/>
              </a:ln>
              <a:effectLst/>
            </c:spPr>
            <c:txPr>
              <a:bodyPr/>
              <a:lstStyle/>
              <a:p>
                <a:pPr>
                  <a:defRPr sz="900">
                    <a:latin typeface="Arial" panose="020B060402020202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Blad1!$A$2:$A$5</c:f>
              <c:strCache>
                <c:ptCount val="4"/>
                <c:pt idx="0">
                  <c:v>Employment</c:v>
                </c:pt>
                <c:pt idx="1">
                  <c:v>Mobility and transport</c:v>
                </c:pt>
                <c:pt idx="2">
                  <c:v>Internal market, industry, entrepreneurship and SMEs</c:v>
                </c:pt>
                <c:pt idx="3">
                  <c:v>Other</c:v>
                </c:pt>
              </c:strCache>
            </c:strRef>
          </c:cat>
          <c:val>
            <c:numRef>
              <c:f>Blad1!$B$2:$B$5</c:f>
              <c:numCache>
                <c:formatCode>General</c:formatCode>
                <c:ptCount val="4"/>
                <c:pt idx="0">
                  <c:v>24</c:v>
                </c:pt>
                <c:pt idx="1">
                  <c:v>23</c:v>
                </c:pt>
                <c:pt idx="2">
                  <c:v>20</c:v>
                </c:pt>
                <c:pt idx="3">
                  <c:v>50</c:v>
                </c:pt>
              </c:numCache>
            </c:numRef>
          </c:val>
          <c:extLst xmlns:c16r2="http://schemas.microsoft.com/office/drawing/2015/06/chart">
            <c:ext xmlns:c16="http://schemas.microsoft.com/office/drawing/2014/chart" uri="{C3380CC4-5D6E-409C-BE32-E72D297353CC}">
              <c16:uniqueId val="{0000000A-4955-4843-8095-8DFF46074E21}"/>
            </c:ext>
          </c:extLst>
        </c:ser>
        <c:dLbls>
          <c:dLblPos val="outEnd"/>
          <c:showLegendKey val="0"/>
          <c:showVal val="1"/>
          <c:showCatName val="0"/>
          <c:showSerName val="0"/>
          <c:showPercent val="0"/>
          <c:showBubbleSize val="0"/>
          <c:showLeaderLines val="0"/>
        </c:dLbls>
        <c:firstSliceAng val="304"/>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1"/>
              <c:layout>
                <c:manualLayout>
                  <c:x val="-5.6894109262832213E-2"/>
                  <c:y val="8.511544107833977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5B36-4100-8E01-1AE5345E4946}"/>
                </c:ext>
              </c:extLst>
            </c:dLbl>
            <c:dLbl>
              <c:idx val="4"/>
              <c:layout>
                <c:manualLayout>
                  <c:x val="-9.2561983471073379E-3"/>
                  <c:y val="5.332207207207206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68BD-48DF-B63A-3E9B88A06F24}"/>
                </c:ext>
              </c:extLst>
            </c:dLbl>
            <c:spPr>
              <a:noFill/>
              <a:ln w="25405">
                <a:noFill/>
              </a:ln>
            </c:spPr>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General</c:formatCode>
                <c:ptCount val="5"/>
                <c:pt idx="0">
                  <c:v>54</c:v>
                </c:pt>
                <c:pt idx="1">
                  <c:v>25</c:v>
                </c:pt>
                <c:pt idx="2">
                  <c:v>22</c:v>
                </c:pt>
                <c:pt idx="3">
                  <c:v>24</c:v>
                </c:pt>
                <c:pt idx="4">
                  <c:v>3</c:v>
                </c:pt>
              </c:numCache>
            </c:numRef>
          </c:val>
          <c:smooth val="0"/>
          <c:extLst xmlns:c16r2="http://schemas.microsoft.com/office/drawing/2015/06/chart">
            <c:ext xmlns:c16="http://schemas.microsoft.com/office/drawing/2014/chart" uri="{C3380CC4-5D6E-409C-BE32-E72D297353CC}">
              <c16:uniqueId val="{00000001-5B36-4100-8E01-1AE5345E4946}"/>
            </c:ext>
          </c:extLst>
        </c:ser>
        <c:dLbls>
          <c:showLegendKey val="0"/>
          <c:showVal val="0"/>
          <c:showCatName val="0"/>
          <c:showSerName val="0"/>
          <c:showPercent val="0"/>
          <c:showBubbleSize val="0"/>
        </c:dLbls>
        <c:marker val="1"/>
        <c:smooth val="0"/>
        <c:axId val="228337152"/>
        <c:axId val="228338688"/>
      </c:lineChart>
      <c:catAx>
        <c:axId val="228337152"/>
        <c:scaling>
          <c:orientation val="minMax"/>
        </c:scaling>
        <c:delete val="0"/>
        <c:axPos val="b"/>
        <c:numFmt formatCode="General" sourceLinked="1"/>
        <c:majorTickMark val="none"/>
        <c:minorTickMark val="none"/>
        <c:tickLblPos val="nextTo"/>
        <c:spPr>
          <a:noFill/>
          <a:ln w="12703"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228338688"/>
        <c:crosses val="autoZero"/>
        <c:auto val="1"/>
        <c:lblAlgn val="ctr"/>
        <c:lblOffset val="100"/>
        <c:noMultiLvlLbl val="0"/>
      </c:catAx>
      <c:valAx>
        <c:axId val="228338688"/>
        <c:scaling>
          <c:orientation val="minMax"/>
        </c:scaling>
        <c:delete val="1"/>
        <c:axPos val="l"/>
        <c:majorGridlines>
          <c:spPr>
            <a:ln w="9528" cap="flat" cmpd="sng" algn="ctr">
              <a:solidFill>
                <a:schemeClr val="tx1">
                  <a:lumMod val="15000"/>
                  <a:lumOff val="85000"/>
                </a:schemeClr>
              </a:solidFill>
              <a:round/>
            </a:ln>
            <a:effectLst/>
          </c:spPr>
        </c:majorGridlines>
        <c:numFmt formatCode="General" sourceLinked="1"/>
        <c:majorTickMark val="out"/>
        <c:minorTickMark val="none"/>
        <c:tickLblPos val="nextTo"/>
        <c:crossAx val="228337152"/>
        <c:crosses val="autoZero"/>
        <c:crossBetween val="between"/>
      </c:valAx>
      <c:spPr>
        <a:noFill/>
        <a:ln w="25405">
          <a:noFill/>
        </a:ln>
      </c:spPr>
    </c:plotArea>
    <c:plotVisOnly val="1"/>
    <c:dispBlanksAs val="gap"/>
    <c:showDLblsOverMax val="0"/>
  </c:chart>
  <c:spPr>
    <a:solidFill>
      <a:schemeClr val="bg1"/>
    </a:solidFill>
    <a:ln w="9528"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1"/>
              <c:layout>
                <c:manualLayout>
                  <c:x val="-4.0337763012181616E-2"/>
                  <c:y val="-6.177709929116004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B3A1-46B0-89D0-18287A39D1E8}"/>
                </c:ext>
              </c:extLst>
            </c:dLbl>
            <c:spPr>
              <a:noFill/>
              <a:ln w="25405">
                <a:noFill/>
              </a:ln>
            </c:spPr>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General</c:formatCode>
                <c:ptCount val="5"/>
                <c:pt idx="0">
                  <c:v>46</c:v>
                </c:pt>
                <c:pt idx="1">
                  <c:v>30</c:v>
                </c:pt>
                <c:pt idx="2">
                  <c:v>29</c:v>
                </c:pt>
                <c:pt idx="3">
                  <c:v>32</c:v>
                </c:pt>
                <c:pt idx="4">
                  <c:v>23</c:v>
                </c:pt>
              </c:numCache>
            </c:numRef>
          </c:val>
          <c:smooth val="0"/>
          <c:extLst xmlns:c16r2="http://schemas.microsoft.com/office/drawing/2015/06/chart">
            <c:ext xmlns:c16="http://schemas.microsoft.com/office/drawing/2014/chart" uri="{C3380CC4-5D6E-409C-BE32-E72D297353CC}">
              <c16:uniqueId val="{00000001-B3A1-46B0-89D0-18287A39D1E8}"/>
            </c:ext>
          </c:extLst>
        </c:ser>
        <c:dLbls>
          <c:showLegendKey val="0"/>
          <c:showVal val="0"/>
          <c:showCatName val="0"/>
          <c:showSerName val="0"/>
          <c:showPercent val="0"/>
          <c:showBubbleSize val="0"/>
        </c:dLbls>
        <c:marker val="1"/>
        <c:smooth val="0"/>
        <c:axId val="228368384"/>
        <c:axId val="228369920"/>
      </c:lineChart>
      <c:catAx>
        <c:axId val="228368384"/>
        <c:scaling>
          <c:orientation val="minMax"/>
        </c:scaling>
        <c:delete val="0"/>
        <c:axPos val="b"/>
        <c:numFmt formatCode="General" sourceLinked="1"/>
        <c:majorTickMark val="none"/>
        <c:minorTickMark val="none"/>
        <c:tickLblPos val="nextTo"/>
        <c:spPr>
          <a:noFill/>
          <a:ln w="12703"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228369920"/>
        <c:crosses val="autoZero"/>
        <c:auto val="1"/>
        <c:lblAlgn val="ctr"/>
        <c:lblOffset val="100"/>
        <c:noMultiLvlLbl val="0"/>
      </c:catAx>
      <c:valAx>
        <c:axId val="228369920"/>
        <c:scaling>
          <c:orientation val="minMax"/>
          <c:min val="10"/>
        </c:scaling>
        <c:delete val="1"/>
        <c:axPos val="l"/>
        <c:majorGridlines>
          <c:spPr>
            <a:ln w="9528" cap="flat" cmpd="sng" algn="ctr">
              <a:solidFill>
                <a:schemeClr val="tx1">
                  <a:lumMod val="15000"/>
                  <a:lumOff val="85000"/>
                </a:schemeClr>
              </a:solidFill>
              <a:round/>
            </a:ln>
            <a:effectLst/>
          </c:spPr>
        </c:majorGridlines>
        <c:numFmt formatCode="General" sourceLinked="1"/>
        <c:majorTickMark val="out"/>
        <c:minorTickMark val="none"/>
        <c:tickLblPos val="nextTo"/>
        <c:crossAx val="228368384"/>
        <c:crosses val="autoZero"/>
        <c:crossBetween val="between"/>
      </c:valAx>
      <c:spPr>
        <a:noFill/>
        <a:ln w="25405">
          <a:noFill/>
        </a:ln>
      </c:spPr>
    </c:plotArea>
    <c:plotVisOnly val="1"/>
    <c:dispBlanksAs val="gap"/>
    <c:showDLblsOverMax val="0"/>
  </c:chart>
  <c:spPr>
    <a:solidFill>
      <a:schemeClr val="bg1"/>
    </a:solidFill>
    <a:ln w="9528"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Arial" panose="020B0604020202020204" pitchFamily="34" charset="0"/>
                <a:cs typeface="Arial" panose="020B0604020202020204" pitchFamily="34" charset="0"/>
              </a:defRPr>
            </a:pPr>
            <a:r>
              <a:rPr lang="en-US" sz="1100" b="0" i="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3 EU Pilot files opened against Austria</a:t>
            </a:r>
            <a:endParaRPr lang="en-GB" sz="1100">
              <a:solidFill>
                <a:srgbClr val="002060"/>
              </a:solidFill>
              <a:effectLst/>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21867443040208212"/>
          <c:y val="3.0441518696802578E-2"/>
        </c:manualLayout>
      </c:layout>
      <c:overlay val="0"/>
    </c:title>
    <c:autoTitleDeleted val="0"/>
    <c:plotArea>
      <c:layout/>
      <c:pieChart>
        <c:varyColors val="1"/>
        <c:ser>
          <c:idx val="0"/>
          <c:order val="0"/>
          <c:spPr>
            <a:scene3d>
              <a:camera prst="orthographicFront"/>
              <a:lightRig rig="threePt" dir="t"/>
            </a:scene3d>
            <a:sp3d>
              <a:bevelT w="63500" h="25400"/>
            </a:sp3d>
          </c:spPr>
          <c:dPt>
            <c:idx val="0"/>
            <c:bubble3D val="0"/>
            <c:spPr>
              <a:solidFill>
                <a:srgbClr val="A65CDE"/>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C5EF-403A-B930-015635E60CEE}"/>
              </c:ext>
            </c:extLst>
          </c:dPt>
          <c:dPt>
            <c:idx val="1"/>
            <c:bubble3D val="0"/>
            <c:spPr>
              <a:solidFill>
                <a:srgbClr val="E7511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C5EF-403A-B930-015635E60CEE}"/>
              </c:ext>
            </c:extLst>
          </c:dPt>
          <c:dPt>
            <c:idx val="2"/>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C5EF-403A-B930-015635E60CEE}"/>
              </c:ext>
            </c:extLst>
          </c:dPt>
          <c:dLbls>
            <c:dLbl>
              <c:idx val="0"/>
              <c:layout>
                <c:manualLayout>
                  <c:x val="0.15075710744342341"/>
                  <c:y val="0.15961381946820466"/>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C5EF-403A-B930-015635E60CEE}"/>
                </c:ext>
              </c:extLst>
            </c:dLbl>
            <c:dLbl>
              <c:idx val="1"/>
              <c:layout>
                <c:manualLayout>
                  <c:x val="-1.6449311023622046E-2"/>
                  <c:y val="2.5370894949106972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C5EF-403A-B930-015635E60CEE}"/>
                </c:ext>
              </c:extLst>
            </c:dLbl>
            <c:dLbl>
              <c:idx val="2"/>
              <c:layout>
                <c:manualLayout>
                  <c:x val="-3.841427722251934E-2"/>
                  <c:y val="-9.720571781989007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C5EF-403A-B930-015635E60CEE}"/>
                </c:ext>
              </c:extLst>
            </c:dLbl>
            <c:dLbl>
              <c:idx val="3"/>
              <c:layout>
                <c:manualLayout>
                  <c:x val="8.7721240848183446E-2"/>
                  <c:y val="0"/>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5EF-403A-B930-015635E60CEE}"/>
                </c:ext>
              </c:extLst>
            </c:dLbl>
            <c:dLbl>
              <c:idx val="4"/>
              <c:layout>
                <c:manualLayout>
                  <c:x val="4.6600877192982455E-2"/>
                  <c:y val="1.6090919275334487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5EF-403A-B930-015635E60CEE}"/>
                </c:ext>
              </c:extLst>
            </c:dLbl>
            <c:dLbl>
              <c:idx val="5"/>
              <c:layout>
                <c:manualLayout>
                  <c:x val="8.2236842105263153E-3"/>
                  <c:y val="-4.0010242622111261E-7"/>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C5EF-403A-B930-015635E60CEE}"/>
                </c:ext>
              </c:extLst>
            </c:dLbl>
            <c:dLbl>
              <c:idx val="6"/>
              <c:layout>
                <c:manualLayout>
                  <c:x val="5.4824561403508769E-3"/>
                  <c:y val="-1.016260162601626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5EF-403A-B930-015635E60CEE}"/>
                </c:ext>
              </c:extLst>
            </c:dLbl>
            <c:dLbl>
              <c:idx val="7"/>
              <c:layout>
                <c:manualLayout>
                  <c:x val="5.4824561403508769E-3"/>
                  <c:y val="-1.524390243902439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C5EF-403A-B930-015635E60CEE}"/>
                </c:ext>
              </c:extLst>
            </c:dLbl>
            <c:spPr>
              <a:noFill/>
              <a:ln w="25390">
                <a:noFill/>
              </a:ln>
            </c:spPr>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Blad1!$A$3:$A$5</c:f>
              <c:strCache>
                <c:ptCount val="3"/>
                <c:pt idx="0">
                  <c:v>Economic and financial affairs</c:v>
                </c:pt>
                <c:pt idx="1">
                  <c:v>Energy</c:v>
                </c:pt>
                <c:pt idx="2">
                  <c:v>Environment</c:v>
                </c:pt>
              </c:strCache>
            </c:strRef>
          </c:cat>
          <c:val>
            <c:numRef>
              <c:f>Blad1!$B$3:$B$5</c:f>
              <c:numCache>
                <c:formatCode>General</c:formatCode>
                <c:ptCount val="3"/>
                <c:pt idx="0">
                  <c:v>1</c:v>
                </c:pt>
                <c:pt idx="1">
                  <c:v>1</c:v>
                </c:pt>
                <c:pt idx="2">
                  <c:v>1</c:v>
                </c:pt>
              </c:numCache>
            </c:numRef>
          </c:val>
          <c:extLst xmlns:c16r2="http://schemas.microsoft.com/office/drawing/2015/06/chart">
            <c:ext xmlns:c16="http://schemas.microsoft.com/office/drawing/2014/chart" uri="{C3380CC4-5D6E-409C-BE32-E72D297353CC}">
              <c16:uniqueId val="{0000000B-C5EF-403A-B930-015635E60CEE}"/>
            </c:ext>
          </c:extLst>
        </c:ser>
        <c:dLbls>
          <c:showLegendKey val="0"/>
          <c:showVal val="0"/>
          <c:showCatName val="0"/>
          <c:showSerName val="0"/>
          <c:showPercent val="0"/>
          <c:showBubbleSize val="0"/>
          <c:showLeaderLines val="0"/>
        </c:dLbls>
        <c:firstSliceAng val="310"/>
      </c:pieChart>
      <c:spPr>
        <a:noFill/>
        <a:ln w="25390">
          <a:noFill/>
        </a:ln>
      </c:spPr>
    </c:plotArea>
    <c:plotVisOnly val="1"/>
    <c:dispBlanksAs val="gap"/>
    <c:showDLblsOverMax val="0"/>
  </c:chart>
  <c:spPr>
    <a:solidFill>
      <a:schemeClr val="bg1"/>
    </a:solidFill>
    <a:ln w="952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Arial" panose="020B0604020202020204" pitchFamily="34" charset="0"/>
                <a:cs typeface="Arial" panose="020B0604020202020204" pitchFamily="34" charset="0"/>
              </a:defRPr>
            </a:pPr>
            <a:r>
              <a:rPr lang="en-US" sz="1100" b="0" i="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5 EU Pilot files opened against </a:t>
            </a:r>
            <a:r>
              <a:rPr lang="en-US" sz="1100" b="0" i="0" u="none" strike="noStrike" kern="120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Luxembourg</a:t>
            </a:r>
            <a:endParaRPr lang="en-GB" sz="1100">
              <a:solidFill>
                <a:srgbClr val="002060"/>
              </a:solidFill>
              <a:effectLst/>
              <a:latin typeface="Arial" panose="020B0604020202020204" pitchFamily="34" charset="0"/>
              <a:ea typeface="Verdana" panose="020B0604030504040204" pitchFamily="34" charset="0"/>
              <a:cs typeface="Arial" panose="020B0604020202020204" pitchFamily="34" charset="0"/>
            </a:endParaRPr>
          </a:p>
        </c:rich>
      </c:tx>
      <c:layout/>
      <c:overlay val="0"/>
    </c:title>
    <c:autoTitleDeleted val="0"/>
    <c:plotArea>
      <c:layout/>
      <c:pieChart>
        <c:varyColors val="1"/>
        <c:ser>
          <c:idx val="0"/>
          <c:order val="0"/>
          <c:tx>
            <c:strRef>
              <c:f>Blad1!$B$1</c:f>
              <c:strCache>
                <c:ptCount val="1"/>
                <c:pt idx="0">
                  <c:v>[Number of new EU Pilot files ] EU Pilot files opened against [Member State]</c:v>
                </c:pt>
              </c:strCache>
            </c:strRef>
          </c:tx>
          <c:spPr>
            <a:scene3d>
              <a:camera prst="orthographicFront"/>
              <a:lightRig rig="threePt" dir="t"/>
            </a:scene3d>
            <a:sp3d>
              <a:bevelT w="63500" h="25400"/>
            </a:sp3d>
          </c:spPr>
          <c:dPt>
            <c:idx val="0"/>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8D34-4FAD-BACA-FA8D73D20774}"/>
              </c:ext>
            </c:extLst>
          </c:dPt>
          <c:dPt>
            <c:idx val="1"/>
            <c:bubble3D val="0"/>
            <c:spPr>
              <a:solidFill>
                <a:srgbClr val="A65CDE"/>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8D34-4FAD-BACA-FA8D73D20774}"/>
              </c:ext>
            </c:extLst>
          </c:dPt>
          <c:dPt>
            <c:idx val="2"/>
            <c:bubble3D val="0"/>
            <c:spPr>
              <a:solidFill>
                <a:srgbClr val="E7511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8D34-4FAD-BACA-FA8D73D20774}"/>
              </c:ext>
            </c:extLst>
          </c:dPt>
          <c:dPt>
            <c:idx val="3"/>
            <c:bubble3D val="0"/>
            <c:spPr>
              <a:solidFill>
                <a:srgbClr val="E7511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8D34-4FAD-BACA-FA8D73D20774}"/>
              </c:ext>
            </c:extLst>
          </c:dPt>
          <c:dPt>
            <c:idx val="4"/>
            <c:bubble3D val="0"/>
            <c:spPr>
              <a:solidFill>
                <a:srgbClr val="000099"/>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8D34-4FAD-BACA-FA8D73D20774}"/>
              </c:ext>
            </c:extLst>
          </c:dPt>
          <c:dLbls>
            <c:dLbl>
              <c:idx val="0"/>
              <c:layout>
                <c:manualLayout>
                  <c:x val="-0.24385805257949314"/>
                  <c:y val="0.1072147856517935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8D34-4FAD-BACA-FA8D73D20774}"/>
                </c:ext>
              </c:extLst>
            </c:dLbl>
            <c:dLbl>
              <c:idx val="1"/>
              <c:layout>
                <c:manualLayout>
                  <c:x val="2.7392854676060231E-3"/>
                  <c:y val="3.5533496575123232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8D34-4FAD-BACA-FA8D73D20774}"/>
                </c:ext>
              </c:extLst>
            </c:dLbl>
            <c:dLbl>
              <c:idx val="2"/>
              <c:layout>
                <c:manualLayout>
                  <c:x val="-6.8637106837055206E-2"/>
                  <c:y val="-0.30034470691163606"/>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8D34-4FAD-BACA-FA8D73D20774}"/>
                </c:ext>
              </c:extLst>
            </c:dLbl>
            <c:dLbl>
              <c:idx val="3"/>
              <c:layout>
                <c:manualLayout>
                  <c:x val="0.10416860926923609"/>
                  <c:y val="-1.1042826963702707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D34-4FAD-BACA-FA8D73D20774}"/>
                </c:ext>
              </c:extLst>
            </c:dLbl>
            <c:dLbl>
              <c:idx val="4"/>
              <c:layout>
                <c:manualLayout>
                  <c:x val="-1.0964912280701754E-2"/>
                  <c:y val="-4.0010242622111261E-7"/>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8D34-4FAD-BACA-FA8D73D20774}"/>
                </c:ext>
              </c:extLst>
            </c:dLbl>
            <c:dLbl>
              <c:idx val="5"/>
              <c:layout>
                <c:manualLayout>
                  <c:x val="-5.4824561403508769E-3"/>
                  <c:y val="-4.0650806606491265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8D34-4FAD-BACA-FA8D73D20774}"/>
                </c:ext>
              </c:extLst>
            </c:dLbl>
            <c:dLbl>
              <c:idx val="6"/>
              <c:layout>
                <c:manualLayout>
                  <c:x val="-2.7412280701754384E-3"/>
                  <c:y val="2.032520325203252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8D34-4FAD-BACA-FA8D73D20774}"/>
                </c:ext>
              </c:extLst>
            </c:dLbl>
            <c:spPr>
              <a:noFill/>
              <a:ln w="25390">
                <a:noFill/>
              </a:ln>
            </c:spPr>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Blad1!$A$3:$A$5</c:f>
              <c:strCache>
                <c:ptCount val="3"/>
                <c:pt idx="0">
                  <c:v>Environment</c:v>
                </c:pt>
                <c:pt idx="1">
                  <c:v>Economic and financial affairs</c:v>
                </c:pt>
                <c:pt idx="2">
                  <c:v>Energy</c:v>
                </c:pt>
              </c:strCache>
            </c:strRef>
          </c:cat>
          <c:val>
            <c:numRef>
              <c:f>Blad1!$B$3:$B$5</c:f>
              <c:numCache>
                <c:formatCode>General</c:formatCode>
                <c:ptCount val="3"/>
                <c:pt idx="0">
                  <c:v>2</c:v>
                </c:pt>
                <c:pt idx="1">
                  <c:v>1</c:v>
                </c:pt>
                <c:pt idx="2">
                  <c:v>2</c:v>
                </c:pt>
              </c:numCache>
            </c:numRef>
          </c:val>
          <c:extLst xmlns:c16r2="http://schemas.microsoft.com/office/drawing/2015/06/chart">
            <c:ext xmlns:c16="http://schemas.microsoft.com/office/drawing/2014/chart" uri="{C3380CC4-5D6E-409C-BE32-E72D297353CC}">
              <c16:uniqueId val="{0000000C-8D34-4FAD-BACA-FA8D73D20774}"/>
            </c:ext>
          </c:extLst>
        </c:ser>
        <c:dLbls>
          <c:showLegendKey val="0"/>
          <c:showVal val="0"/>
          <c:showCatName val="0"/>
          <c:showSerName val="0"/>
          <c:showPercent val="0"/>
          <c:showBubbleSize val="0"/>
          <c:showLeaderLines val="0"/>
        </c:dLbls>
        <c:firstSliceAng val="296"/>
      </c:pieChart>
      <c:spPr>
        <a:noFill/>
        <a:ln w="25390">
          <a:noFill/>
        </a:ln>
      </c:spPr>
    </c:plotArea>
    <c:plotVisOnly val="1"/>
    <c:dispBlanksAs val="gap"/>
    <c:showDLblsOverMax val="0"/>
  </c:chart>
  <c:spPr>
    <a:solidFill>
      <a:schemeClr val="bg1"/>
    </a:solidFill>
    <a:ln w="952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Blad1!$B$2</c:f>
              <c:strCache>
                <c:ptCount val="1"/>
                <c:pt idx="0">
                  <c:v>Austria</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1"/>
              <c:layout>
                <c:manualLayout>
                  <c:x val="-5.8188279947593617E-2"/>
                  <c:y val="-5.77574595938665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E0A1-495B-8E24-025CDC2010CA}"/>
                </c:ext>
              </c:extLst>
            </c:dLbl>
            <c:dLbl>
              <c:idx val="2"/>
              <c:layout>
                <c:manualLayout>
                  <c:x val="-3.627031073852087E-2"/>
                  <c:y val="-9.108043238016300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9C34-4E27-AD1F-194FCBB69DDA}"/>
                </c:ext>
              </c:extLst>
            </c:dLbl>
            <c:dLbl>
              <c:idx val="3"/>
              <c:layout>
                <c:manualLayout>
                  <c:x val="-4.8040419076968613E-2"/>
                  <c:y val="6.69053909379748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9C34-4E27-AD1F-194FCBB69DDA}"/>
                </c:ext>
              </c:extLst>
            </c:dLbl>
            <c:dLbl>
              <c:idx val="4"/>
              <c:layout>
                <c:manualLayout>
                  <c:x val="-2.7904935343980506E-2"/>
                  <c:y val="7.43377483443708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9C34-4E27-AD1F-194FCBB69DDA}"/>
                </c:ext>
              </c:extLst>
            </c:dLbl>
            <c:spPr>
              <a:noFill/>
              <a:ln w="25370">
                <a:noFill/>
              </a:ln>
            </c:spPr>
            <c:txPr>
              <a:bodyPr/>
              <a:lstStyle/>
              <a:p>
                <a:pPr>
                  <a:defRPr sz="899">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0%</c:formatCode>
                <c:ptCount val="5"/>
                <c:pt idx="0">
                  <c:v>0.63</c:v>
                </c:pt>
                <c:pt idx="1">
                  <c:v>0.86</c:v>
                </c:pt>
                <c:pt idx="2">
                  <c:v>0.52</c:v>
                </c:pt>
                <c:pt idx="3">
                  <c:v>0.67</c:v>
                </c:pt>
                <c:pt idx="4">
                  <c:v>0.62</c:v>
                </c:pt>
              </c:numCache>
            </c:numRef>
          </c:val>
          <c:smooth val="0"/>
          <c:extLst xmlns:c16r2="http://schemas.microsoft.com/office/drawing/2015/06/chart">
            <c:ext xmlns:c16="http://schemas.microsoft.com/office/drawing/2014/chart" uri="{C3380CC4-5D6E-409C-BE32-E72D297353CC}">
              <c16:uniqueId val="{00000003-9C34-4E27-AD1F-194FCBB69DDA}"/>
            </c:ext>
          </c:extLst>
        </c:ser>
        <c:ser>
          <c:idx val="1"/>
          <c:order val="1"/>
          <c:tx>
            <c:strRef>
              <c:f>Blad1!$C$2</c:f>
              <c:strCache>
                <c:ptCount val="1"/>
                <c:pt idx="0">
                  <c:v>General rate for all Member States</c:v>
                </c:pt>
              </c:strCache>
            </c:strRef>
          </c:tx>
          <c:spPr>
            <a:ln w="25370">
              <a:solidFill>
                <a:srgbClr val="92D050"/>
              </a:solidFill>
            </a:ln>
          </c:spPr>
          <c:marker>
            <c:symbol val="square"/>
            <c:size val="4"/>
            <c:spPr>
              <a:solidFill>
                <a:srgbClr val="92D050"/>
              </a:solidFill>
              <a:ln>
                <a:solidFill>
                  <a:srgbClr val="92D050"/>
                </a:solidFill>
              </a:ln>
            </c:spPr>
          </c:marker>
          <c:dLbls>
            <c:spPr>
              <a:noFill/>
              <a:ln w="25370">
                <a:noFill/>
              </a:ln>
            </c:spPr>
            <c:txPr>
              <a:bodyPr/>
              <a:lstStyle/>
              <a:p>
                <a:pPr>
                  <a:defRPr sz="899">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2013</c:v>
                </c:pt>
                <c:pt idx="1">
                  <c:v>2014</c:v>
                </c:pt>
                <c:pt idx="2">
                  <c:v>2015</c:v>
                </c:pt>
                <c:pt idx="3">
                  <c:v>2016</c:v>
                </c:pt>
                <c:pt idx="4">
                  <c:v>2017</c:v>
                </c:pt>
              </c:numCache>
            </c:numRef>
          </c:cat>
          <c:val>
            <c:numRef>
              <c:f>Blad1!$C$3:$C$7</c:f>
              <c:numCache>
                <c:formatCode>0%</c:formatCode>
                <c:ptCount val="5"/>
                <c:pt idx="0">
                  <c:v>0.7</c:v>
                </c:pt>
                <c:pt idx="1">
                  <c:v>0.75</c:v>
                </c:pt>
                <c:pt idx="2">
                  <c:v>0.75</c:v>
                </c:pt>
                <c:pt idx="3">
                  <c:v>0.72</c:v>
                </c:pt>
                <c:pt idx="4">
                  <c:v>0.77</c:v>
                </c:pt>
              </c:numCache>
            </c:numRef>
          </c:val>
          <c:smooth val="0"/>
          <c:extLst xmlns:c16r2="http://schemas.microsoft.com/office/drawing/2015/06/chart">
            <c:ext xmlns:c16="http://schemas.microsoft.com/office/drawing/2014/chart" uri="{C3380CC4-5D6E-409C-BE32-E72D297353CC}">
              <c16:uniqueId val="{00000004-9C34-4E27-AD1F-194FCBB69DDA}"/>
            </c:ext>
          </c:extLst>
        </c:ser>
        <c:dLbls>
          <c:showLegendKey val="0"/>
          <c:showVal val="0"/>
          <c:showCatName val="0"/>
          <c:showSerName val="0"/>
          <c:showPercent val="0"/>
          <c:showBubbleSize val="0"/>
        </c:dLbls>
        <c:marker val="1"/>
        <c:smooth val="0"/>
        <c:axId val="235768064"/>
        <c:axId val="235786240"/>
      </c:lineChart>
      <c:catAx>
        <c:axId val="235768064"/>
        <c:scaling>
          <c:orientation val="minMax"/>
        </c:scaling>
        <c:delete val="0"/>
        <c:axPos val="b"/>
        <c:numFmt formatCode="General" sourceLinked="1"/>
        <c:majorTickMark val="none"/>
        <c:minorTickMark val="none"/>
        <c:tickLblPos val="nextTo"/>
        <c:spPr>
          <a:noFill/>
          <a:ln w="12685"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235786240"/>
        <c:crosses val="autoZero"/>
        <c:auto val="1"/>
        <c:lblAlgn val="ctr"/>
        <c:lblOffset val="100"/>
        <c:noMultiLvlLbl val="0"/>
      </c:catAx>
      <c:valAx>
        <c:axId val="235786240"/>
        <c:scaling>
          <c:orientation val="minMax"/>
          <c:min val="0.5"/>
        </c:scaling>
        <c:delete val="1"/>
        <c:axPos val="l"/>
        <c:majorGridlines>
          <c:spPr>
            <a:ln w="9514" cap="flat" cmpd="sng" algn="ctr">
              <a:solidFill>
                <a:schemeClr val="tx1">
                  <a:lumMod val="15000"/>
                  <a:lumOff val="85000"/>
                </a:schemeClr>
              </a:solidFill>
              <a:round/>
            </a:ln>
            <a:effectLst/>
          </c:spPr>
        </c:majorGridlines>
        <c:numFmt formatCode="0%" sourceLinked="1"/>
        <c:majorTickMark val="out"/>
        <c:minorTickMark val="none"/>
        <c:tickLblPos val="nextTo"/>
        <c:crossAx val="235768064"/>
        <c:crosses val="autoZero"/>
        <c:crossBetween val="between"/>
      </c:valAx>
      <c:spPr>
        <a:noFill/>
        <a:ln w="25370">
          <a:noFill/>
        </a:ln>
      </c:spPr>
    </c:plotArea>
    <c:legend>
      <c:legendPos val="b"/>
      <c:overlay val="0"/>
      <c:txPr>
        <a:bodyPr/>
        <a:lstStyle/>
        <a:p>
          <a:pPr>
            <a:defRPr sz="899">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1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Lbls>
            <c:spPr>
              <a:noFill/>
              <a:ln w="25404">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Blad1!$A$4:$A$8</c:f>
              <c:numCache>
                <c:formatCode>General</c:formatCode>
                <c:ptCount val="5"/>
                <c:pt idx="0">
                  <c:v>2013</c:v>
                </c:pt>
                <c:pt idx="1">
                  <c:v>2014</c:v>
                </c:pt>
                <c:pt idx="2">
                  <c:v>2015</c:v>
                </c:pt>
                <c:pt idx="3">
                  <c:v>2016</c:v>
                </c:pt>
                <c:pt idx="4">
                  <c:v>2017</c:v>
                </c:pt>
              </c:numCache>
            </c:numRef>
          </c:cat>
          <c:val>
            <c:numRef>
              <c:f>Blad1!$B$4:$B$8</c:f>
              <c:numCache>
                <c:formatCode>General</c:formatCode>
                <c:ptCount val="5"/>
                <c:pt idx="0">
                  <c:v>49</c:v>
                </c:pt>
                <c:pt idx="1">
                  <c:v>53</c:v>
                </c:pt>
                <c:pt idx="2">
                  <c:v>49</c:v>
                </c:pt>
                <c:pt idx="3">
                  <c:v>66</c:v>
                </c:pt>
                <c:pt idx="4">
                  <c:v>62</c:v>
                </c:pt>
              </c:numCache>
            </c:numRef>
          </c:val>
          <c:smooth val="0"/>
          <c:extLst xmlns:c16r2="http://schemas.microsoft.com/office/drawing/2015/06/chart">
            <c:ext xmlns:c16="http://schemas.microsoft.com/office/drawing/2014/chart" uri="{C3380CC4-5D6E-409C-BE32-E72D297353CC}">
              <c16:uniqueId val="{00000003-DEAE-4DB5-BA57-5437629D8825}"/>
            </c:ext>
          </c:extLst>
        </c:ser>
        <c:dLbls>
          <c:showLegendKey val="0"/>
          <c:showVal val="0"/>
          <c:showCatName val="0"/>
          <c:showSerName val="0"/>
          <c:showPercent val="0"/>
          <c:showBubbleSize val="0"/>
        </c:dLbls>
        <c:marker val="1"/>
        <c:smooth val="0"/>
        <c:axId val="281875200"/>
        <c:axId val="281876736"/>
      </c:lineChart>
      <c:catAx>
        <c:axId val="281875200"/>
        <c:scaling>
          <c:orientation val="minMax"/>
        </c:scaling>
        <c:delete val="0"/>
        <c:axPos val="b"/>
        <c:numFmt formatCode="General" sourceLinked="1"/>
        <c:majorTickMark val="none"/>
        <c:minorTickMark val="none"/>
        <c:tickLblPos val="nextTo"/>
        <c:spPr>
          <a:noFill/>
          <a:ln w="12702"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281876736"/>
        <c:crosses val="autoZero"/>
        <c:auto val="1"/>
        <c:lblAlgn val="ctr"/>
        <c:lblOffset val="100"/>
        <c:noMultiLvlLbl val="0"/>
      </c:catAx>
      <c:valAx>
        <c:axId val="281876736"/>
        <c:scaling>
          <c:orientation val="minMax"/>
          <c:min val="35"/>
        </c:scaling>
        <c:delete val="1"/>
        <c:axPos val="l"/>
        <c:majorGridlines>
          <c:spPr>
            <a:ln w="9527" cap="flat" cmpd="sng" algn="ctr">
              <a:solidFill>
                <a:schemeClr val="tx1">
                  <a:lumMod val="15000"/>
                  <a:lumOff val="85000"/>
                </a:schemeClr>
              </a:solidFill>
              <a:round/>
            </a:ln>
            <a:effectLst/>
          </c:spPr>
        </c:majorGridlines>
        <c:numFmt formatCode="General" sourceLinked="1"/>
        <c:majorTickMark val="out"/>
        <c:minorTickMark val="none"/>
        <c:tickLblPos val="nextTo"/>
        <c:crossAx val="281875200"/>
        <c:crosses val="autoZero"/>
        <c:crossBetween val="between"/>
      </c:valAx>
      <c:spPr>
        <a:noFill/>
        <a:ln w="25383">
          <a:noFill/>
        </a:ln>
      </c:spPr>
    </c:plotArea>
    <c:plotVisOnly val="1"/>
    <c:dispBlanksAs val="gap"/>
    <c:showDLblsOverMax val="0"/>
  </c:chart>
  <c:spPr>
    <a:solidFill>
      <a:schemeClr val="bg1"/>
    </a:solidFill>
    <a:ln w="9527"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7"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US" sz="1097" b="0" baseline="0">
                <a:solidFill>
                  <a:srgbClr val="002060"/>
                </a:solidFill>
                <a:latin typeface="Arial" panose="020B0604020202020204" pitchFamily="34" charset="0"/>
                <a:ea typeface="Verdana" panose="020B0604030504040204" pitchFamily="34" charset="0"/>
                <a:cs typeface="Arial" panose="020B0604020202020204" pitchFamily="34" charset="0"/>
              </a:rPr>
              <a:t>28 new </a:t>
            </a:r>
            <a:r>
              <a:rPr lang="en-US" sz="1097"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against</a:t>
            </a:r>
            <a:r>
              <a:rPr lang="en-US" sz="1097" b="0" baseline="0">
                <a:solidFill>
                  <a:srgbClr val="002060"/>
                </a:solidFill>
                <a:latin typeface="Arial" panose="020B0604020202020204" pitchFamily="34" charset="0"/>
                <a:ea typeface="Verdana" panose="020B0604030504040204" pitchFamily="34" charset="0"/>
                <a:cs typeface="Arial" panose="020B0604020202020204" pitchFamily="34" charset="0"/>
              </a:rPr>
              <a:t> Austria</a:t>
            </a:r>
            <a:endParaRPr lang="en-US"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6218115768277933"/>
          <c:y val="3.2786799515840258E-2"/>
        </c:manualLayout>
      </c:layout>
      <c:overlay val="0"/>
      <c:spPr>
        <a:noFill/>
        <a:ln w="25335">
          <a:noFill/>
        </a:ln>
      </c:spPr>
    </c:title>
    <c:autoTitleDeleted val="0"/>
    <c:plotArea>
      <c:layout/>
      <c:pieChart>
        <c:varyColors val="1"/>
        <c:ser>
          <c:idx val="0"/>
          <c:order val="0"/>
          <c:tx>
            <c:strRef>
              <c:f>Blad1!$B$1</c:f>
              <c:strCache>
                <c:ptCount val="1"/>
                <c:pt idx="0">
                  <c:v>[Number of infringement cases] infringement cases against Austria</c:v>
                </c:pt>
              </c:strCache>
            </c:strRef>
          </c:tx>
          <c:spPr>
            <a:scene3d>
              <a:camera prst="orthographicFront"/>
              <a:lightRig rig="threePt" dir="t"/>
            </a:scene3d>
            <a:sp3d>
              <a:bevelT w="63500" h="25400"/>
            </a:sp3d>
          </c:spPr>
          <c:dPt>
            <c:idx val="0"/>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274A-4EDC-8F92-438D48C5C4EB}"/>
              </c:ext>
            </c:extLst>
          </c:dPt>
          <c:dPt>
            <c:idx val="1"/>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274A-4EDC-8F92-438D48C5C4EB}"/>
              </c:ext>
            </c:extLst>
          </c:dPt>
          <c:dPt>
            <c:idx val="2"/>
            <c:bubble3D val="0"/>
            <c:spPr>
              <a:solidFill>
                <a:srgbClr val="FF7DF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274A-4EDC-8F92-438D48C5C4EB}"/>
              </c:ext>
            </c:extLst>
          </c:dPt>
          <c:dPt>
            <c:idx val="3"/>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274A-4EDC-8F92-438D48C5C4EB}"/>
              </c:ext>
            </c:extLst>
          </c:dPt>
          <c:dPt>
            <c:idx val="4"/>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274A-4EDC-8F92-438D48C5C4EB}"/>
              </c:ext>
            </c:extLst>
          </c:dPt>
          <c:dPt>
            <c:idx val="5"/>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274A-4EDC-8F92-438D48C5C4EB}"/>
              </c:ext>
            </c:extLst>
          </c:dPt>
          <c:dPt>
            <c:idx val="6"/>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D-274A-4EDC-8F92-438D48C5C4EB}"/>
              </c:ext>
            </c:extLst>
          </c:dPt>
          <c:dLbls>
            <c:dLbl>
              <c:idx val="0"/>
              <c:layout>
                <c:manualLayout>
                  <c:x val="2.1908586593713648E-2"/>
                  <c:y val="-5.6548670546616456E-2"/>
                </c:manualLayout>
              </c:layou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274A-4EDC-8F92-438D48C5C4EB}"/>
                </c:ext>
              </c:extLst>
            </c:dLbl>
            <c:dLbl>
              <c:idx val="1"/>
              <c:layout>
                <c:manualLayout>
                  <c:x val="6.0833932506766273E-3"/>
                  <c:y val="8.8386625584845377E-2"/>
                </c:manualLayout>
              </c:layou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274A-4EDC-8F92-438D48C5C4EB}"/>
                </c:ext>
              </c:extLst>
            </c:dLbl>
            <c:dLbl>
              <c:idx val="2"/>
              <c:layout>
                <c:manualLayout>
                  <c:x val="-1.0026153147968803E-3"/>
                  <c:y val="-3.2401483668708077E-2"/>
                </c:manualLayout>
              </c:layou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274A-4EDC-8F92-438D48C5C4EB}"/>
                </c:ext>
              </c:extLst>
            </c:dLbl>
            <c:dLbl>
              <c:idx val="3"/>
              <c:layout>
                <c:manualLayout>
                  <c:x val="6.4905038317871741E-2"/>
                  <c:y val="-4.8403514778044051E-3"/>
                </c:manualLayout>
              </c:layou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274A-4EDC-8F92-438D48C5C4EB}"/>
                </c:ext>
              </c:extLst>
            </c:dLbl>
            <c:dLbl>
              <c:idx val="4"/>
              <c:layout>
                <c:manualLayout>
                  <c:x val="-0.13472388334531679"/>
                  <c:y val="-7.1976720301266589E-2"/>
                </c:manualLayout>
              </c:layou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274A-4EDC-8F92-438D48C5C4EB}"/>
                </c:ext>
              </c:extLst>
            </c:dLbl>
            <c:spPr>
              <a:noFill/>
              <a:ln>
                <a:noFill/>
              </a:ln>
              <a:effectLst/>
            </c:spPr>
            <c:txPr>
              <a:bodyPr/>
              <a:lstStyle/>
              <a:p>
                <a:pPr>
                  <a:defRPr sz="900">
                    <a:latin typeface="Arial" panose="020B0604020202020204" pitchFamily="34" charset="0"/>
                    <a:cs typeface="Arial" panose="020B0604020202020204" pitchFamily="34" charset="0"/>
                  </a:defRPr>
                </a:pPr>
                <a:endParaRPr lang="en-US"/>
              </a:p>
            </c:txPr>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Blad1!$A$2:$A$7</c:f>
              <c:strCache>
                <c:ptCount val="5"/>
                <c:pt idx="0">
                  <c:v>Environment</c:v>
                </c:pt>
                <c:pt idx="1">
                  <c:v>Mobility and transport</c:v>
                </c:pt>
                <c:pt idx="2">
                  <c:v>Health and food safety</c:v>
                </c:pt>
                <c:pt idx="3">
                  <c:v>Financial stability, financial services and Capital Markets Union</c:v>
                </c:pt>
                <c:pt idx="4">
                  <c:v>Other</c:v>
                </c:pt>
              </c:strCache>
            </c:strRef>
          </c:cat>
          <c:val>
            <c:numRef>
              <c:f>Blad1!$B$2:$B$7</c:f>
              <c:numCache>
                <c:formatCode>General</c:formatCode>
                <c:ptCount val="6"/>
                <c:pt idx="0">
                  <c:v>8</c:v>
                </c:pt>
                <c:pt idx="1">
                  <c:v>5</c:v>
                </c:pt>
                <c:pt idx="2">
                  <c:v>4</c:v>
                </c:pt>
                <c:pt idx="3">
                  <c:v>3</c:v>
                </c:pt>
                <c:pt idx="4">
                  <c:v>8</c:v>
                </c:pt>
              </c:numCache>
            </c:numRef>
          </c:val>
          <c:extLst xmlns:c16r2="http://schemas.microsoft.com/office/drawing/2015/06/chart">
            <c:ext xmlns:c16="http://schemas.microsoft.com/office/drawing/2014/chart" uri="{C3380CC4-5D6E-409C-BE32-E72D297353CC}">
              <c16:uniqueId val="{0000000E-274A-4EDC-8F92-438D48C5C4EB}"/>
            </c:ext>
          </c:extLst>
        </c:ser>
        <c:dLbls>
          <c:showLegendKey val="0"/>
          <c:showVal val="0"/>
          <c:showCatName val="0"/>
          <c:showSerName val="0"/>
          <c:showPercent val="0"/>
          <c:showBubbleSize val="0"/>
          <c:showLeaderLines val="0"/>
        </c:dLbls>
        <c:firstSliceAng val="239"/>
      </c:pieChart>
      <c:spPr>
        <a:noFill/>
        <a:ln w="25335">
          <a:noFill/>
        </a:ln>
      </c:spPr>
    </c:plotArea>
    <c:plotVisOnly val="1"/>
    <c:dispBlanksAs val="gap"/>
    <c:showDLblsOverMax val="0"/>
  </c:chart>
  <c:spPr>
    <a:solidFill>
      <a:schemeClr val="bg1"/>
    </a:solidFill>
    <a:ln w="950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Lbls>
            <c:dLbl>
              <c:idx val="0"/>
              <c:layout>
                <c:manualLayout>
                  <c:x val="-4.199778245541088E-2"/>
                  <c:y val="8.828063953837830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E1EC-4CB6-BC90-7312AB841159}"/>
                </c:ext>
              </c:extLst>
            </c:dLbl>
            <c:dLbl>
              <c:idx val="1"/>
              <c:layout>
                <c:manualLayout>
                  <c:x val="-4.7516556291390726E-2"/>
                  <c:y val="7.091020910209101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E1EC-4CB6-BC90-7312AB841159}"/>
                </c:ext>
              </c:extLst>
            </c:dLbl>
            <c:dLbl>
              <c:idx val="2"/>
              <c:layout>
                <c:manualLayout>
                  <c:x val="-3.3719646799117001E-2"/>
                  <c:y val="6.476014760147606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E1EC-4CB6-BC90-7312AB841159}"/>
                </c:ext>
              </c:extLst>
            </c:dLbl>
            <c:dLbl>
              <c:idx val="3"/>
              <c:layout>
                <c:manualLayout>
                  <c:x val="-5.5711476659476969E-2"/>
                  <c:y val="-6.908346857406183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E1EC-4CB6-BC90-7312AB841159}"/>
                </c:ext>
              </c:extLst>
            </c:dLbl>
            <c:dLbl>
              <c:idx val="4"/>
              <c:layout>
                <c:manualLayout>
                  <c:x val="-4.1900826446280993E-2"/>
                  <c:y val="4.798040512111558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BC20-499B-9F55-3D06275857A6}"/>
                </c:ext>
              </c:extLst>
            </c:dLbl>
            <c:spPr>
              <a:noFill/>
              <a:ln w="25351">
                <a:noFill/>
              </a:ln>
            </c:spPr>
            <c:txPr>
              <a:bodyPr/>
              <a:lstStyle/>
              <a:p>
                <a:pPr>
                  <a:defRPr sz="898">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Blad1!$A$4:$A$8</c:f>
              <c:numCache>
                <c:formatCode>General</c:formatCode>
                <c:ptCount val="5"/>
                <c:pt idx="0">
                  <c:v>2013</c:v>
                </c:pt>
                <c:pt idx="1">
                  <c:v>2014</c:v>
                </c:pt>
                <c:pt idx="2">
                  <c:v>2015</c:v>
                </c:pt>
                <c:pt idx="3">
                  <c:v>2016</c:v>
                </c:pt>
                <c:pt idx="4">
                  <c:v>2017</c:v>
                </c:pt>
              </c:numCache>
            </c:numRef>
          </c:cat>
          <c:val>
            <c:numRef>
              <c:f>Blad1!$B$4:$B$8</c:f>
              <c:numCache>
                <c:formatCode>General</c:formatCode>
                <c:ptCount val="5"/>
                <c:pt idx="0">
                  <c:v>19</c:v>
                </c:pt>
                <c:pt idx="1">
                  <c:v>21</c:v>
                </c:pt>
                <c:pt idx="2">
                  <c:v>18</c:v>
                </c:pt>
                <c:pt idx="3">
                  <c:v>34</c:v>
                </c:pt>
                <c:pt idx="4">
                  <c:v>32</c:v>
                </c:pt>
              </c:numCache>
            </c:numRef>
          </c:val>
          <c:smooth val="0"/>
          <c:extLst xmlns:c16r2="http://schemas.microsoft.com/office/drawing/2015/06/chart">
            <c:ext xmlns:c16="http://schemas.microsoft.com/office/drawing/2014/chart" uri="{C3380CC4-5D6E-409C-BE32-E72D297353CC}">
              <c16:uniqueId val="{00000004-E1EC-4CB6-BC90-7312AB841159}"/>
            </c:ext>
          </c:extLst>
        </c:ser>
        <c:dLbls>
          <c:showLegendKey val="0"/>
          <c:showVal val="0"/>
          <c:showCatName val="0"/>
          <c:showSerName val="0"/>
          <c:showPercent val="0"/>
          <c:showBubbleSize val="0"/>
        </c:dLbls>
        <c:marker val="1"/>
        <c:smooth val="0"/>
        <c:axId val="282069632"/>
        <c:axId val="282079616"/>
      </c:lineChart>
      <c:catAx>
        <c:axId val="282069632"/>
        <c:scaling>
          <c:orientation val="minMax"/>
        </c:scaling>
        <c:delete val="0"/>
        <c:axPos val="b"/>
        <c:numFmt formatCode="General" sourceLinked="1"/>
        <c:majorTickMark val="none"/>
        <c:minorTickMark val="none"/>
        <c:tickLblPos val="nextTo"/>
        <c:spPr>
          <a:noFill/>
          <a:ln w="12685"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282079616"/>
        <c:crosses val="autoZero"/>
        <c:auto val="1"/>
        <c:lblAlgn val="ctr"/>
        <c:lblOffset val="100"/>
        <c:noMultiLvlLbl val="0"/>
      </c:catAx>
      <c:valAx>
        <c:axId val="282079616"/>
        <c:scaling>
          <c:orientation val="minMax"/>
        </c:scaling>
        <c:delete val="1"/>
        <c:axPos val="l"/>
        <c:majorGridlines>
          <c:spPr>
            <a:ln w="9515" cap="flat" cmpd="sng" algn="ctr">
              <a:solidFill>
                <a:schemeClr val="tx1">
                  <a:lumMod val="15000"/>
                  <a:lumOff val="85000"/>
                </a:schemeClr>
              </a:solidFill>
              <a:round/>
            </a:ln>
            <a:effectLst/>
          </c:spPr>
        </c:majorGridlines>
        <c:numFmt formatCode="General" sourceLinked="1"/>
        <c:majorTickMark val="out"/>
        <c:minorTickMark val="none"/>
        <c:tickLblPos val="nextTo"/>
        <c:crossAx val="282069632"/>
        <c:crosses val="autoZero"/>
        <c:crossBetween val="between"/>
      </c:valAx>
      <c:spPr>
        <a:noFill/>
        <a:ln w="25351">
          <a:noFill/>
        </a:ln>
      </c:spPr>
    </c:plotArea>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0"/>
              <c:layout>
                <c:manualLayout>
                  <c:x val="-3.9278915087258191E-2"/>
                  <c:y val="5.410484545216317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1D83-4C76-92ED-93D157F2F92C}"/>
                </c:ext>
              </c:extLst>
            </c:dLbl>
            <c:dLbl>
              <c:idx val="1"/>
              <c:layout>
                <c:manualLayout>
                  <c:x val="-3.9368770764119598E-2"/>
                  <c:y val="7.117283950617284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EA5F-4037-8EBF-93DDFEDAB6E1}"/>
                </c:ext>
              </c:extLst>
            </c:dLbl>
            <c:dLbl>
              <c:idx val="2"/>
              <c:layout>
                <c:manualLayout>
                  <c:x val="-4.2137301245304536E-2"/>
                  <c:y val="7.51160144905841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EA5F-4037-8EBF-93DDFEDAB6E1}"/>
                </c:ext>
              </c:extLst>
            </c:dLbl>
            <c:dLbl>
              <c:idx val="3"/>
              <c:layout>
                <c:manualLayout>
                  <c:x val="-3.3836286633325066E-2"/>
                  <c:y val="-8.075406923944393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EA5F-4037-8EBF-93DDFEDAB6E1}"/>
                </c:ext>
              </c:extLst>
            </c:dLbl>
            <c:dLbl>
              <c:idx val="4"/>
              <c:layout>
                <c:manualLayout>
                  <c:x val="-4.2053729602207789E-2"/>
                  <c:y val="7.309910880911754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1D83-4C76-92ED-93D157F2F92C}"/>
                </c:ext>
              </c:extLst>
            </c:dLbl>
            <c:spPr>
              <a:noFill/>
              <a:ln w="25370">
                <a:noFill/>
              </a:ln>
            </c:spPr>
            <c:txPr>
              <a:bodyPr/>
              <a:lstStyle/>
              <a:p>
                <a:pPr>
                  <a:defRPr sz="899">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Blad1!$A$2:$A$7</c:f>
              <c:numCache>
                <c:formatCode>General</c:formatCode>
                <c:ptCount val="6"/>
                <c:pt idx="0">
                  <c:v>2013</c:v>
                </c:pt>
                <c:pt idx="1">
                  <c:v>2014</c:v>
                </c:pt>
                <c:pt idx="2">
                  <c:v>2015</c:v>
                </c:pt>
                <c:pt idx="3">
                  <c:v>2016</c:v>
                </c:pt>
                <c:pt idx="4">
                  <c:v>2017</c:v>
                </c:pt>
              </c:numCache>
            </c:numRef>
          </c:cat>
          <c:val>
            <c:numRef>
              <c:f>Blad1!$B$2:$B$7</c:f>
              <c:numCache>
                <c:formatCode>General</c:formatCode>
                <c:ptCount val="6"/>
                <c:pt idx="0">
                  <c:v>19</c:v>
                </c:pt>
                <c:pt idx="1">
                  <c:v>26</c:v>
                </c:pt>
                <c:pt idx="2">
                  <c:v>14</c:v>
                </c:pt>
                <c:pt idx="3">
                  <c:v>40</c:v>
                </c:pt>
                <c:pt idx="4">
                  <c:v>22</c:v>
                </c:pt>
              </c:numCache>
            </c:numRef>
          </c:val>
          <c:smooth val="0"/>
          <c:extLst xmlns:c16r2="http://schemas.microsoft.com/office/drawing/2015/06/chart">
            <c:ext xmlns:c16="http://schemas.microsoft.com/office/drawing/2014/chart" uri="{C3380CC4-5D6E-409C-BE32-E72D297353CC}">
              <c16:uniqueId val="{00000003-EA5F-4037-8EBF-93DDFEDAB6E1}"/>
            </c:ext>
          </c:extLst>
        </c:ser>
        <c:dLbls>
          <c:showLegendKey val="0"/>
          <c:showVal val="0"/>
          <c:showCatName val="0"/>
          <c:showSerName val="0"/>
          <c:showPercent val="0"/>
          <c:showBubbleSize val="0"/>
        </c:dLbls>
        <c:marker val="1"/>
        <c:smooth val="0"/>
        <c:axId val="282106112"/>
        <c:axId val="282132480"/>
      </c:lineChart>
      <c:catAx>
        <c:axId val="282106112"/>
        <c:scaling>
          <c:orientation val="minMax"/>
        </c:scaling>
        <c:delete val="0"/>
        <c:axPos val="b"/>
        <c:numFmt formatCode="General" sourceLinked="1"/>
        <c:majorTickMark val="none"/>
        <c:minorTickMark val="none"/>
        <c:tickLblPos val="nextTo"/>
        <c:spPr>
          <a:noFill/>
          <a:ln w="12685"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282132480"/>
        <c:crosses val="autoZero"/>
        <c:auto val="1"/>
        <c:lblAlgn val="ctr"/>
        <c:lblOffset val="100"/>
        <c:noMultiLvlLbl val="0"/>
      </c:catAx>
      <c:valAx>
        <c:axId val="282132480"/>
        <c:scaling>
          <c:orientation val="minMax"/>
        </c:scaling>
        <c:delete val="1"/>
        <c:axPos val="l"/>
        <c:majorGridlines>
          <c:spPr>
            <a:ln w="9514" cap="flat" cmpd="sng" algn="ctr">
              <a:solidFill>
                <a:schemeClr val="tx1">
                  <a:lumMod val="15000"/>
                  <a:lumOff val="85000"/>
                </a:schemeClr>
              </a:solidFill>
              <a:round/>
            </a:ln>
            <a:effectLst/>
          </c:spPr>
        </c:majorGridlines>
        <c:numFmt formatCode="General" sourceLinked="1"/>
        <c:majorTickMark val="out"/>
        <c:minorTickMark val="none"/>
        <c:tickLblPos val="nextTo"/>
        <c:crossAx val="282106112"/>
        <c:crosses val="autoZero"/>
        <c:crossBetween val="between"/>
      </c:valAx>
      <c:spPr>
        <a:noFill/>
        <a:ln w="25370">
          <a:noFill/>
        </a:ln>
      </c:spPr>
    </c:plotArea>
    <c:plotVisOnly val="1"/>
    <c:dispBlanksAs val="gap"/>
    <c:showDLblsOverMax val="0"/>
  </c:chart>
  <c:spPr>
    <a:solidFill>
      <a:schemeClr val="bg1"/>
    </a:solidFill>
    <a:ln w="951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7"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nl-BE" sz="1097" b="0" baseline="0">
                <a:solidFill>
                  <a:srgbClr val="002060"/>
                </a:solidFill>
                <a:latin typeface="Arial" panose="020B0604020202020204" pitchFamily="34" charset="0"/>
                <a:ea typeface="Verdana" panose="020B0604030504040204" pitchFamily="34" charset="0"/>
                <a:cs typeface="Arial" panose="020B0604020202020204" pitchFamily="34" charset="0"/>
              </a:rPr>
              <a:t>22 new </a:t>
            </a:r>
            <a:r>
              <a:rPr lang="nl-BE" sz="1097" b="0">
                <a:solidFill>
                  <a:srgbClr val="002060"/>
                </a:solidFill>
                <a:latin typeface="Arial" panose="020B0604020202020204" pitchFamily="34" charset="0"/>
                <a:ea typeface="Verdana" panose="020B0604030504040204" pitchFamily="34" charset="0"/>
                <a:cs typeface="Arial" panose="020B0604020202020204" pitchFamily="34" charset="0"/>
              </a:rPr>
              <a:t>late transposition infringement cases against Austria</a:t>
            </a:r>
          </a:p>
        </c:rich>
      </c:tx>
      <c:overlay val="0"/>
      <c:spPr>
        <a:noFill/>
        <a:ln w="25321">
          <a:noFill/>
        </a:ln>
      </c:spPr>
    </c:title>
    <c:autoTitleDeleted val="0"/>
    <c:plotArea>
      <c:layout>
        <c:manualLayout>
          <c:layoutTarget val="inner"/>
          <c:xMode val="edge"/>
          <c:yMode val="edge"/>
          <c:x val="0.31614720034995625"/>
          <c:y val="0.26226409198850142"/>
          <c:w val="0.3723354111986002"/>
          <c:h val="0.6382892763404574"/>
        </c:manualLayout>
      </c:layout>
      <c:pieChart>
        <c:varyColors val="1"/>
        <c:ser>
          <c:idx val="0"/>
          <c:order val="0"/>
          <c:tx>
            <c:strRef>
              <c:f>Blad1!$B$1</c:f>
              <c:strCache>
                <c:ptCount val="1"/>
                <c:pt idx="0">
                  <c:v>[Number of late transposition cases] late transposition cases against [Member State]</c:v>
                </c:pt>
              </c:strCache>
            </c:strRef>
          </c:tx>
          <c:spPr>
            <a:scene3d>
              <a:camera prst="orthographicFront"/>
              <a:lightRig rig="threePt" dir="t"/>
            </a:scene3d>
            <a:sp3d>
              <a:bevelT w="63500" h="25400"/>
            </a:sp3d>
          </c:spPr>
          <c:explosion val="4"/>
          <c:dPt>
            <c:idx val="0"/>
            <c:bubble3D val="0"/>
            <c:explosion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C599-46B3-9E4E-AFF432801C8C}"/>
              </c:ext>
            </c:extLst>
          </c:dPt>
          <c:dPt>
            <c:idx val="1"/>
            <c:bubble3D val="0"/>
            <c:explosion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C599-46B3-9E4E-AFF432801C8C}"/>
              </c:ext>
            </c:extLst>
          </c:dPt>
          <c:dPt>
            <c:idx val="2"/>
            <c:bubble3D val="0"/>
            <c:explosion val="0"/>
            <c:spPr>
              <a:solidFill>
                <a:srgbClr val="FF7DF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C599-46B3-9E4E-AFF432801C8C}"/>
              </c:ext>
            </c:extLst>
          </c:dPt>
          <c:dPt>
            <c:idx val="3"/>
            <c:bubble3D val="0"/>
            <c:explosion val="0"/>
            <c:spPr>
              <a:solidFill>
                <a:srgbClr val="7030A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C599-46B3-9E4E-AFF432801C8C}"/>
              </c:ext>
            </c:extLst>
          </c:dPt>
          <c:dPt>
            <c:idx val="4"/>
            <c:bubble3D val="0"/>
            <c:explosion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C599-46B3-9E4E-AFF432801C8C}"/>
              </c:ext>
            </c:extLst>
          </c:dPt>
          <c:dLbls>
            <c:dLbl>
              <c:idx val="0"/>
              <c:layout>
                <c:manualLayout>
                  <c:x val="-5.3431990439864454E-3"/>
                  <c:y val="-7.5510031585034915E-2"/>
                </c:manualLayout>
              </c:layou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C599-46B3-9E4E-AFF432801C8C}"/>
                </c:ext>
              </c:extLst>
            </c:dLbl>
            <c:dLbl>
              <c:idx val="1"/>
              <c:layout>
                <c:manualLayout>
                  <c:x val="-5.0802298361353478E-2"/>
                  <c:y val="0.12013167845544731"/>
                </c:manualLayout>
              </c:layou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C599-46B3-9E4E-AFF432801C8C}"/>
                </c:ext>
              </c:extLst>
            </c:dLbl>
            <c:dLbl>
              <c:idx val="2"/>
              <c:layout>
                <c:manualLayout>
                  <c:x val="-1.3475862294759933E-2"/>
                  <c:y val="5.637928733484586E-2"/>
                </c:manualLayout>
              </c:layou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C599-46B3-9E4E-AFF432801C8C}"/>
                </c:ext>
              </c:extLst>
            </c:dLbl>
            <c:dLbl>
              <c:idx val="3"/>
              <c:layout>
                <c:manualLayout>
                  <c:x val="1.5646973442249034E-2"/>
                  <c:y val="2.9418568441656658E-2"/>
                </c:manualLayout>
              </c:layou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C599-46B3-9E4E-AFF432801C8C}"/>
                </c:ext>
              </c:extLst>
            </c:dLbl>
            <c:dLbl>
              <c:idx val="4"/>
              <c:layout>
                <c:manualLayout>
                  <c:x val="-0.17076519281243691"/>
                  <c:y val="-4.5762711864406778E-3"/>
                </c:manualLayout>
              </c:layou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C599-46B3-9E4E-AFF432801C8C}"/>
                </c:ext>
              </c:extLst>
            </c:dLbl>
            <c:spPr>
              <a:noFill/>
              <a:ln>
                <a:noFill/>
              </a:ln>
              <a:effectLst/>
            </c:spPr>
            <c:txPr>
              <a:bodyPr/>
              <a:lstStyle/>
              <a:p>
                <a:pPr>
                  <a:defRPr sz="900">
                    <a:latin typeface="Arial" panose="020B0604020202020204" pitchFamily="34" charset="0"/>
                    <a:cs typeface="Arial" panose="020B0604020202020204" pitchFamily="34" charset="0"/>
                  </a:defRPr>
                </a:pPr>
                <a:endParaRPr lang="en-US"/>
              </a:p>
            </c:txPr>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Blad1!$A$4:$A$8</c:f>
              <c:strCache>
                <c:ptCount val="5"/>
                <c:pt idx="0">
                  <c:v>Environment</c:v>
                </c:pt>
                <c:pt idx="1">
                  <c:v>Mobility and transport</c:v>
                </c:pt>
                <c:pt idx="2">
                  <c:v>Health and food safety</c:v>
                </c:pt>
                <c:pt idx="3">
                  <c:v>Financial stability, financial services and Capital Markets Union</c:v>
                </c:pt>
                <c:pt idx="4">
                  <c:v>Other</c:v>
                </c:pt>
              </c:strCache>
            </c:strRef>
          </c:cat>
          <c:val>
            <c:numRef>
              <c:f>Blad1!$B$4:$B$8</c:f>
              <c:numCache>
                <c:formatCode>General</c:formatCode>
                <c:ptCount val="5"/>
                <c:pt idx="0">
                  <c:v>5</c:v>
                </c:pt>
                <c:pt idx="1">
                  <c:v>4</c:v>
                </c:pt>
                <c:pt idx="2">
                  <c:v>4</c:v>
                </c:pt>
                <c:pt idx="3">
                  <c:v>3</c:v>
                </c:pt>
                <c:pt idx="4">
                  <c:v>6</c:v>
                </c:pt>
              </c:numCache>
            </c:numRef>
          </c:val>
          <c:extLst xmlns:c16r2="http://schemas.microsoft.com/office/drawing/2015/06/chart">
            <c:ext xmlns:c16="http://schemas.microsoft.com/office/drawing/2014/chart" uri="{C3380CC4-5D6E-409C-BE32-E72D297353CC}">
              <c16:uniqueId val="{0000000A-C599-46B3-9E4E-AFF432801C8C}"/>
            </c:ext>
          </c:extLst>
        </c:ser>
        <c:dLbls>
          <c:showLegendKey val="0"/>
          <c:showVal val="0"/>
          <c:showCatName val="0"/>
          <c:showSerName val="0"/>
          <c:showPercent val="0"/>
          <c:showBubbleSize val="0"/>
          <c:showLeaderLines val="0"/>
        </c:dLbls>
        <c:firstSliceAng val="228"/>
      </c:pieChart>
      <c:spPr>
        <a:noFill/>
        <a:ln w="25321">
          <a:noFill/>
        </a:ln>
      </c:spPr>
    </c:plotArea>
    <c:plotVisOnly val="1"/>
    <c:dispBlanksAs val="gap"/>
    <c:showDLblsOverMax val="0"/>
  </c:chart>
  <c:spPr>
    <a:solidFill>
      <a:schemeClr val="bg1"/>
    </a:solidFill>
    <a:ln w="949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0"/>
              <c:layout>
                <c:manualLayout>
                  <c:x val="-6.1538461538461542E-2"/>
                  <c:y val="5.480324074074063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81D0-438F-B605-89F12D372A69}"/>
                </c:ext>
              </c:extLst>
            </c:dLbl>
            <c:dLbl>
              <c:idx val="1"/>
              <c:layout>
                <c:manualLayout>
                  <c:x val="-5.0390189520624303E-2"/>
                  <c:y val="-6.672453703703704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81D0-438F-B605-89F12D372A69}"/>
                </c:ext>
              </c:extLst>
            </c:dLbl>
            <c:dLbl>
              <c:idx val="2"/>
              <c:layout>
                <c:manualLayout>
                  <c:x val="-5.8703333069988275E-2"/>
                  <c:y val="7.213063210848644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81D0-438F-B605-89F12D372A69}"/>
                </c:ext>
              </c:extLst>
            </c:dLbl>
            <c:dLbl>
              <c:idx val="3"/>
              <c:layout>
                <c:manualLayout>
                  <c:x val="-5.0222222222222224E-2"/>
                  <c:y val="5.442528735632183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9319-4B77-9AF3-7C6CD3403B59}"/>
                </c:ext>
              </c:extLst>
            </c:dLbl>
            <c:dLbl>
              <c:idx val="4"/>
              <c:layout>
                <c:manualLayout>
                  <c:x val="-4.1888888888888892E-2"/>
                  <c:y val="-6.04998563631140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9319-4B77-9AF3-7C6CD3403B59}"/>
                </c:ext>
              </c:extLst>
            </c:dLbl>
            <c:spPr>
              <a:noFill/>
              <a:ln w="25398">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General</c:formatCode>
                <c:ptCount val="5"/>
                <c:pt idx="0">
                  <c:v>209</c:v>
                </c:pt>
                <c:pt idx="1">
                  <c:v>191</c:v>
                </c:pt>
                <c:pt idx="2">
                  <c:v>184</c:v>
                </c:pt>
                <c:pt idx="3">
                  <c:v>152</c:v>
                </c:pt>
                <c:pt idx="4">
                  <c:v>221</c:v>
                </c:pt>
              </c:numCache>
            </c:numRef>
          </c:val>
          <c:smooth val="0"/>
          <c:extLst xmlns:c16r2="http://schemas.microsoft.com/office/drawing/2015/06/chart">
            <c:ext xmlns:c16="http://schemas.microsoft.com/office/drawing/2014/chart" uri="{C3380CC4-5D6E-409C-BE32-E72D297353CC}">
              <c16:uniqueId val="{00000003-81D0-438F-B605-89F12D372A69}"/>
            </c:ext>
          </c:extLst>
        </c:ser>
        <c:dLbls>
          <c:showLegendKey val="0"/>
          <c:showVal val="0"/>
          <c:showCatName val="0"/>
          <c:showSerName val="0"/>
          <c:showPercent val="0"/>
          <c:showBubbleSize val="0"/>
        </c:dLbls>
        <c:marker val="1"/>
        <c:smooth val="0"/>
        <c:axId val="284371584"/>
        <c:axId val="284381568"/>
      </c:lineChart>
      <c:catAx>
        <c:axId val="284371584"/>
        <c:scaling>
          <c:orientation val="minMax"/>
        </c:scaling>
        <c:delete val="0"/>
        <c:axPos val="b"/>
        <c:numFmt formatCode="General" sourceLinked="1"/>
        <c:majorTickMark val="none"/>
        <c:minorTickMark val="none"/>
        <c:tickLblPos val="nextTo"/>
        <c:spPr>
          <a:noFill/>
          <a:ln w="12699"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284381568"/>
        <c:crosses val="autoZero"/>
        <c:auto val="1"/>
        <c:lblAlgn val="ctr"/>
        <c:lblOffset val="100"/>
        <c:noMultiLvlLbl val="0"/>
      </c:catAx>
      <c:valAx>
        <c:axId val="284381568"/>
        <c:scaling>
          <c:orientation val="minMax"/>
          <c:min val="145"/>
        </c:scaling>
        <c:delete val="1"/>
        <c:axPos val="l"/>
        <c:majorGridlines>
          <c:spPr>
            <a:ln w="9524" cap="flat" cmpd="sng" algn="ctr">
              <a:solidFill>
                <a:schemeClr val="tx1">
                  <a:lumMod val="15000"/>
                  <a:lumOff val="85000"/>
                </a:schemeClr>
              </a:solidFill>
              <a:round/>
            </a:ln>
            <a:effectLst/>
          </c:spPr>
        </c:majorGridlines>
        <c:numFmt formatCode="General" sourceLinked="1"/>
        <c:majorTickMark val="out"/>
        <c:minorTickMark val="none"/>
        <c:tickLblPos val="nextTo"/>
        <c:crossAx val="284371584"/>
        <c:crosses val="autoZero"/>
        <c:crossBetween val="between"/>
      </c:valAx>
      <c:spPr>
        <a:noFill/>
        <a:ln w="25398">
          <a:noFill/>
        </a:ln>
      </c:spPr>
    </c:plotArea>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9" b="0" i="0" u="none" strike="noStrike" kern="1200" baseline="0">
                <a:solidFill>
                  <a:srgbClr val="002060"/>
                </a:solidFill>
                <a:latin typeface="+mn-lt"/>
                <a:ea typeface="+mn-ea"/>
                <a:cs typeface="+mn-cs"/>
              </a:defRPr>
            </a:pPr>
            <a:r>
              <a:rPr lang="en-US" sz="1099" b="0" i="0">
                <a:solidFill>
                  <a:srgbClr val="002060"/>
                </a:solidFill>
                <a:latin typeface="Arial" panose="020B0604020202020204" pitchFamily="34" charset="0"/>
                <a:ea typeface="Verdana" panose="020B0604030504040204" pitchFamily="34" charset="0"/>
                <a:cs typeface="Arial" panose="020B0604020202020204" pitchFamily="34" charset="0"/>
              </a:rPr>
              <a:t>221 complaints made against </a:t>
            </a:r>
            <a:r>
              <a:rPr lang="en-US" sz="10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Poland</a:t>
            </a:r>
            <a:endParaRPr lang="en-US" sz="1100" b="0" i="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w="25387">
          <a:noFill/>
        </a:ln>
      </c:spPr>
    </c:title>
    <c:autoTitleDeleted val="0"/>
    <c:plotArea>
      <c:layout/>
      <c:pieChart>
        <c:varyColors val="1"/>
        <c:ser>
          <c:idx val="0"/>
          <c:order val="0"/>
          <c:tx>
            <c:strRef>
              <c:f>Blad1!$B$1</c:f>
              <c:strCache>
                <c:ptCount val="1"/>
                <c:pt idx="0">
                  <c:v>[Number of new complaints] complaints made against [Member State]</c:v>
                </c:pt>
              </c:strCache>
            </c:strRef>
          </c:tx>
          <c:spPr>
            <a:scene3d>
              <a:camera prst="orthographicFront"/>
              <a:lightRig rig="threePt" dir="t"/>
            </a:scene3d>
            <a:sp3d>
              <a:bevelT w="63500" h="25400"/>
            </a:sp3d>
          </c:spPr>
          <c:dPt>
            <c:idx val="0"/>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DAF3-4974-AA79-EB433C9D0C1E}"/>
              </c:ext>
            </c:extLst>
          </c:dPt>
          <c:dPt>
            <c:idx val="1"/>
            <c:bubble3D val="0"/>
            <c:spPr>
              <a:solidFill>
                <a:srgbClr val="0B5A8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DAF3-4974-AA79-EB433C9D0C1E}"/>
              </c:ext>
            </c:extLst>
          </c:dPt>
          <c:dPt>
            <c:idx val="2"/>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DAF3-4974-AA79-EB433C9D0C1E}"/>
              </c:ext>
            </c:extLst>
          </c:dPt>
          <c:dPt>
            <c:idx val="3"/>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DAF3-4974-AA79-EB433C9D0C1E}"/>
              </c:ext>
            </c:extLst>
          </c:dPt>
          <c:dPt>
            <c:idx val="4"/>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DAF3-4974-AA79-EB433C9D0C1E}"/>
              </c:ext>
            </c:extLst>
          </c:dPt>
          <c:dLbls>
            <c:dLbl>
              <c:idx val="0"/>
              <c:layout>
                <c:manualLayout>
                  <c:x val="-7.6723588563775189E-2"/>
                  <c:y val="0.12885590120907017"/>
                </c:manualLayout>
              </c:layou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DAF3-4974-AA79-EB433C9D0C1E}"/>
                </c:ext>
              </c:extLst>
            </c:dLbl>
            <c:dLbl>
              <c:idx val="1"/>
              <c:layout>
                <c:manualLayout>
                  <c:x val="-1.9000765349141902E-2"/>
                  <c:y val="1.3284282087689859E-2"/>
                </c:manualLayout>
              </c:layou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DAF3-4974-AA79-EB433C9D0C1E}"/>
                </c:ext>
              </c:extLst>
            </c:dLbl>
            <c:dLbl>
              <c:idx val="2"/>
              <c:layout>
                <c:manualLayout>
                  <c:x val="1.6850653141174485E-2"/>
                  <c:y val="-1.8785766533281699E-2"/>
                </c:manualLayout>
              </c:layou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DAF3-4974-AA79-EB433C9D0C1E}"/>
                </c:ext>
              </c:extLst>
            </c:dLbl>
            <c:dLbl>
              <c:idx val="3"/>
              <c:layout>
                <c:manualLayout>
                  <c:x val="3.9112584155975558E-2"/>
                  <c:y val="-4.8395507938556862E-2"/>
                </c:manualLayout>
              </c:layou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DAF3-4974-AA79-EB433C9D0C1E}"/>
                </c:ext>
              </c:extLst>
            </c:dLbl>
            <c:dLbl>
              <c:idx val="4"/>
              <c:layout>
                <c:manualLayout>
                  <c:x val="-4.1696963805450245E-2"/>
                  <c:y val="-0.13811023622047244"/>
                </c:manualLayout>
              </c:layou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DAF3-4974-AA79-EB433C9D0C1E}"/>
                </c:ext>
              </c:extLst>
            </c:dLbl>
            <c:spPr>
              <a:noFill/>
              <a:ln>
                <a:noFill/>
              </a:ln>
              <a:effectLst/>
            </c:spPr>
            <c:txPr>
              <a:bodyPr/>
              <a:lstStyle/>
              <a:p>
                <a:pPr>
                  <a:defRPr sz="900">
                    <a:latin typeface="Arial" panose="020B0604020202020204" pitchFamily="34" charset="0"/>
                    <a:cs typeface="Arial" panose="020B0604020202020204" pitchFamily="34" charset="0"/>
                  </a:defRPr>
                </a:pPr>
                <a:endParaRPr lang="en-US"/>
              </a:p>
            </c:txPr>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Blad1!$A$3:$A$7</c:f>
              <c:strCache>
                <c:ptCount val="5"/>
                <c:pt idx="0">
                  <c:v>Justice and consumers</c:v>
                </c:pt>
                <c:pt idx="1">
                  <c:v>Regional and urban policy</c:v>
                </c:pt>
                <c:pt idx="2">
                  <c:v>Taxation and customs</c:v>
                </c:pt>
                <c:pt idx="3">
                  <c:v>Environment</c:v>
                </c:pt>
                <c:pt idx="4">
                  <c:v>Other</c:v>
                </c:pt>
              </c:strCache>
            </c:strRef>
          </c:cat>
          <c:val>
            <c:numRef>
              <c:f>Blad1!$B$3:$B$7</c:f>
              <c:numCache>
                <c:formatCode>General</c:formatCode>
                <c:ptCount val="5"/>
                <c:pt idx="0">
                  <c:v>64</c:v>
                </c:pt>
                <c:pt idx="1">
                  <c:v>23</c:v>
                </c:pt>
                <c:pt idx="2">
                  <c:v>21</c:v>
                </c:pt>
                <c:pt idx="3">
                  <c:v>21</c:v>
                </c:pt>
                <c:pt idx="4">
                  <c:v>92</c:v>
                </c:pt>
              </c:numCache>
            </c:numRef>
          </c:val>
          <c:extLst xmlns:c16r2="http://schemas.microsoft.com/office/drawing/2015/06/chart">
            <c:ext xmlns:c16="http://schemas.microsoft.com/office/drawing/2014/chart" uri="{C3380CC4-5D6E-409C-BE32-E72D297353CC}">
              <c16:uniqueId val="{0000000A-DAF3-4974-AA79-EB433C9D0C1E}"/>
            </c:ext>
          </c:extLst>
        </c:ser>
        <c:dLbls>
          <c:showLegendKey val="0"/>
          <c:showVal val="0"/>
          <c:showCatName val="0"/>
          <c:showSerName val="0"/>
          <c:showPercent val="0"/>
          <c:showBubbleSize val="0"/>
          <c:showLeaderLines val="0"/>
        </c:dLbls>
        <c:firstSliceAng val="292"/>
      </c:pieChart>
      <c:spPr>
        <a:noFill/>
        <a:ln w="25387">
          <a:noFill/>
        </a:ln>
      </c:spPr>
    </c:plotArea>
    <c:plotVisOnly val="1"/>
    <c:dispBlanksAs val="gap"/>
    <c:showDLblsOverMax val="0"/>
  </c:chart>
  <c:spPr>
    <a:solidFill>
      <a:schemeClr val="bg1"/>
    </a:solidFill>
    <a:ln w="952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spPr>
              <a:noFill/>
              <a:ln w="25418">
                <a:noFill/>
              </a:ln>
            </c:spPr>
            <c:txPr>
              <a:bodyPr/>
              <a:lstStyle/>
              <a:p>
                <a:pPr>
                  <a:defRPr sz="901">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General</c:formatCode>
                <c:ptCount val="5"/>
                <c:pt idx="0">
                  <c:v>57</c:v>
                </c:pt>
                <c:pt idx="1">
                  <c:v>58</c:v>
                </c:pt>
                <c:pt idx="2">
                  <c:v>41</c:v>
                </c:pt>
                <c:pt idx="3">
                  <c:v>41</c:v>
                </c:pt>
                <c:pt idx="4">
                  <c:v>8</c:v>
                </c:pt>
              </c:numCache>
            </c:numRef>
          </c:val>
          <c:smooth val="0"/>
          <c:extLst xmlns:c16r2="http://schemas.microsoft.com/office/drawing/2015/06/chart">
            <c:ext xmlns:c16="http://schemas.microsoft.com/office/drawing/2014/chart" uri="{C3380CC4-5D6E-409C-BE32-E72D297353CC}">
              <c16:uniqueId val="{00000000-DFFB-42BC-B006-82D03E4BB588}"/>
            </c:ext>
          </c:extLst>
        </c:ser>
        <c:dLbls>
          <c:showLegendKey val="0"/>
          <c:showVal val="0"/>
          <c:showCatName val="0"/>
          <c:showSerName val="0"/>
          <c:showPercent val="0"/>
          <c:showBubbleSize val="0"/>
        </c:dLbls>
        <c:marker val="1"/>
        <c:smooth val="0"/>
        <c:axId val="284960256"/>
        <c:axId val="284961792"/>
      </c:lineChart>
      <c:catAx>
        <c:axId val="284960256"/>
        <c:scaling>
          <c:orientation val="minMax"/>
        </c:scaling>
        <c:delete val="0"/>
        <c:axPos val="b"/>
        <c:numFmt formatCode="General" sourceLinked="1"/>
        <c:majorTickMark val="none"/>
        <c:minorTickMark val="none"/>
        <c:tickLblPos val="nextTo"/>
        <c:spPr>
          <a:noFill/>
          <a:ln w="12709" cap="flat" cmpd="sng" algn="ctr">
            <a:solidFill>
              <a:schemeClr val="tx1">
                <a:lumMod val="15000"/>
                <a:lumOff val="85000"/>
              </a:schemeClr>
            </a:solidFill>
            <a:round/>
          </a:ln>
          <a:effectLst/>
        </c:spPr>
        <c:txPr>
          <a:bodyPr rot="-60000000" spcFirstLastPara="1" vertOverflow="ellipsis" vert="horz" wrap="square" anchor="ctr" anchorCtr="1"/>
          <a:lstStyle/>
          <a:p>
            <a:pPr>
              <a:defRPr sz="901"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284961792"/>
        <c:crosses val="autoZero"/>
        <c:auto val="1"/>
        <c:lblAlgn val="ctr"/>
        <c:lblOffset val="100"/>
        <c:noMultiLvlLbl val="0"/>
      </c:catAx>
      <c:valAx>
        <c:axId val="284961792"/>
        <c:scaling>
          <c:orientation val="minMax"/>
        </c:scaling>
        <c:delete val="1"/>
        <c:axPos val="l"/>
        <c:majorGridlines>
          <c:spPr>
            <a:ln w="9532" cap="flat" cmpd="sng" algn="ctr">
              <a:solidFill>
                <a:schemeClr val="tx1">
                  <a:lumMod val="15000"/>
                  <a:lumOff val="85000"/>
                </a:schemeClr>
              </a:solidFill>
              <a:round/>
            </a:ln>
            <a:effectLst/>
          </c:spPr>
        </c:majorGridlines>
        <c:numFmt formatCode="General" sourceLinked="1"/>
        <c:majorTickMark val="out"/>
        <c:minorTickMark val="none"/>
        <c:tickLblPos val="nextTo"/>
        <c:crossAx val="284960256"/>
        <c:crosses val="autoZero"/>
        <c:crossBetween val="between"/>
      </c:valAx>
      <c:spPr>
        <a:noFill/>
        <a:ln w="25418">
          <a:noFill/>
        </a:ln>
      </c:spPr>
    </c:plotArea>
    <c:plotVisOnly val="1"/>
    <c:dispBlanksAs val="gap"/>
    <c:showDLblsOverMax val="0"/>
  </c:chart>
  <c:spPr>
    <a:solidFill>
      <a:schemeClr val="bg1"/>
    </a:solidFill>
    <a:ln w="9532"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spPr>
              <a:noFill/>
              <a:ln w="25418">
                <a:noFill/>
              </a:ln>
            </c:spPr>
            <c:txPr>
              <a:bodyPr/>
              <a:lstStyle/>
              <a:p>
                <a:pPr>
                  <a:defRPr sz="901">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General</c:formatCode>
                <c:ptCount val="5"/>
                <c:pt idx="0">
                  <c:v>67</c:v>
                </c:pt>
                <c:pt idx="1">
                  <c:v>73</c:v>
                </c:pt>
                <c:pt idx="2">
                  <c:v>74</c:v>
                </c:pt>
                <c:pt idx="3">
                  <c:v>61</c:v>
                </c:pt>
                <c:pt idx="4">
                  <c:v>48</c:v>
                </c:pt>
              </c:numCache>
            </c:numRef>
          </c:val>
          <c:smooth val="0"/>
          <c:extLst xmlns:c16r2="http://schemas.microsoft.com/office/drawing/2015/06/chart">
            <c:ext xmlns:c16="http://schemas.microsoft.com/office/drawing/2014/chart" uri="{C3380CC4-5D6E-409C-BE32-E72D297353CC}">
              <c16:uniqueId val="{00000000-D951-4DCA-9AD4-02D901743F71}"/>
            </c:ext>
          </c:extLst>
        </c:ser>
        <c:dLbls>
          <c:showLegendKey val="0"/>
          <c:showVal val="0"/>
          <c:showCatName val="0"/>
          <c:showSerName val="0"/>
          <c:showPercent val="0"/>
          <c:showBubbleSize val="0"/>
        </c:dLbls>
        <c:marker val="1"/>
        <c:smooth val="0"/>
        <c:axId val="284995584"/>
        <c:axId val="284997120"/>
      </c:lineChart>
      <c:catAx>
        <c:axId val="284995584"/>
        <c:scaling>
          <c:orientation val="minMax"/>
        </c:scaling>
        <c:delete val="0"/>
        <c:axPos val="b"/>
        <c:numFmt formatCode="General" sourceLinked="1"/>
        <c:majorTickMark val="none"/>
        <c:minorTickMark val="none"/>
        <c:tickLblPos val="nextTo"/>
        <c:spPr>
          <a:noFill/>
          <a:ln w="12709" cap="flat" cmpd="sng" algn="ctr">
            <a:solidFill>
              <a:schemeClr val="tx1">
                <a:lumMod val="15000"/>
                <a:lumOff val="85000"/>
              </a:schemeClr>
            </a:solidFill>
            <a:round/>
          </a:ln>
          <a:effectLst/>
        </c:spPr>
        <c:txPr>
          <a:bodyPr rot="-60000000" spcFirstLastPara="1" vertOverflow="ellipsis" vert="horz" wrap="square" anchor="ctr" anchorCtr="1"/>
          <a:lstStyle/>
          <a:p>
            <a:pPr>
              <a:defRPr sz="901"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284997120"/>
        <c:crosses val="autoZero"/>
        <c:auto val="1"/>
        <c:lblAlgn val="ctr"/>
        <c:lblOffset val="100"/>
        <c:noMultiLvlLbl val="0"/>
      </c:catAx>
      <c:valAx>
        <c:axId val="284997120"/>
        <c:scaling>
          <c:orientation val="minMax"/>
          <c:min val="20"/>
        </c:scaling>
        <c:delete val="1"/>
        <c:axPos val="l"/>
        <c:majorGridlines>
          <c:spPr>
            <a:ln w="9532" cap="flat" cmpd="sng" algn="ctr">
              <a:solidFill>
                <a:schemeClr val="tx1">
                  <a:lumMod val="15000"/>
                  <a:lumOff val="85000"/>
                </a:schemeClr>
              </a:solidFill>
              <a:round/>
            </a:ln>
            <a:effectLst/>
          </c:spPr>
        </c:majorGridlines>
        <c:numFmt formatCode="General" sourceLinked="1"/>
        <c:majorTickMark val="out"/>
        <c:minorTickMark val="none"/>
        <c:tickLblPos val="nextTo"/>
        <c:crossAx val="284995584"/>
        <c:crosses val="autoZero"/>
        <c:crossBetween val="between"/>
      </c:valAx>
      <c:spPr>
        <a:noFill/>
        <a:ln w="25418">
          <a:noFill/>
        </a:ln>
      </c:spPr>
    </c:plotArea>
    <c:plotVisOnly val="1"/>
    <c:dispBlanksAs val="gap"/>
    <c:showDLblsOverMax val="0"/>
  </c:chart>
  <c:spPr>
    <a:solidFill>
      <a:schemeClr val="bg1"/>
    </a:solidFill>
    <a:ln w="9532"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Blad1!$B$2</c:f>
              <c:strCache>
                <c:ptCount val="1"/>
                <c:pt idx="0">
                  <c:v>Luxembourg</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4.4739464005126447E-2"/>
                  <c:y val="-4.172181965626389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D7FC-4A6C-A004-09F4D7195D21}"/>
                </c:ext>
              </c:extLst>
            </c:dLbl>
            <c:dLbl>
              <c:idx val="1"/>
              <c:layout>
                <c:manualLayout>
                  <c:x val="-5.6103240021418727E-2"/>
                  <c:y val="6.872367698223769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64DF-464A-8C7A-2F624A50FAB6}"/>
                </c:ext>
              </c:extLst>
            </c:dLbl>
            <c:dLbl>
              <c:idx val="2"/>
              <c:layout>
                <c:manualLayout>
                  <c:x val="-4.7198228565910869E-2"/>
                  <c:y val="-6.857543969794473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64DF-464A-8C7A-2F624A50FAB6}"/>
                </c:ext>
              </c:extLst>
            </c:dLbl>
            <c:dLbl>
              <c:idx val="3"/>
              <c:layout>
                <c:manualLayout>
                  <c:x val="-4.8189830837757575E-2"/>
                  <c:y val="-5.990511737262696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64DF-464A-8C7A-2F624A50FAB6}"/>
                </c:ext>
              </c:extLst>
            </c:dLbl>
            <c:dLbl>
              <c:idx val="4"/>
              <c:layout>
                <c:manualLayout>
                  <c:x val="-4.2121140058834924E-2"/>
                  <c:y val="-5.850000000000000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64DF-464A-8C7A-2F624A50FAB6}"/>
                </c:ext>
              </c:extLst>
            </c:dLbl>
            <c:spPr>
              <a:noFill/>
              <a:ln w="25372">
                <a:noFill/>
              </a:ln>
            </c:spPr>
            <c:txPr>
              <a:bodyPr/>
              <a:lstStyle/>
              <a:p>
                <a:pPr>
                  <a:defRPr sz="899">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0%</c:formatCode>
                <c:ptCount val="5"/>
                <c:pt idx="0">
                  <c:v>0.74</c:v>
                </c:pt>
                <c:pt idx="1">
                  <c:v>0.62</c:v>
                </c:pt>
                <c:pt idx="2">
                  <c:v>0.83</c:v>
                </c:pt>
                <c:pt idx="3">
                  <c:v>0.77</c:v>
                </c:pt>
                <c:pt idx="4">
                  <c:v>1</c:v>
                </c:pt>
              </c:numCache>
            </c:numRef>
          </c:val>
          <c:smooth val="0"/>
          <c:extLst xmlns:c16r2="http://schemas.microsoft.com/office/drawing/2015/06/chart">
            <c:ext xmlns:c16="http://schemas.microsoft.com/office/drawing/2014/chart" uri="{C3380CC4-5D6E-409C-BE32-E72D297353CC}">
              <c16:uniqueId val="{00000004-64DF-464A-8C7A-2F624A50FAB6}"/>
            </c:ext>
          </c:extLst>
        </c:ser>
        <c:ser>
          <c:idx val="1"/>
          <c:order val="1"/>
          <c:tx>
            <c:strRef>
              <c:f>Blad1!$C$2</c:f>
              <c:strCache>
                <c:ptCount val="1"/>
                <c:pt idx="0">
                  <c:v>General rate for all Member States</c:v>
                </c:pt>
              </c:strCache>
            </c:strRef>
          </c:tx>
          <c:spPr>
            <a:ln w="25372">
              <a:solidFill>
                <a:srgbClr val="92D050"/>
              </a:solidFill>
            </a:ln>
          </c:spPr>
          <c:marker>
            <c:symbol val="square"/>
            <c:size val="4"/>
            <c:spPr>
              <a:solidFill>
                <a:srgbClr val="92D050"/>
              </a:solidFill>
              <a:ln>
                <a:solidFill>
                  <a:srgbClr val="92D050"/>
                </a:solidFill>
              </a:ln>
            </c:spPr>
          </c:marker>
          <c:dLbls>
            <c:dLbl>
              <c:idx val="0"/>
              <c:layout>
                <c:manualLayout>
                  <c:x val="-6.0068338029652647E-2"/>
                  <c:y val="5.556500204916246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D7FC-4A6C-A004-09F4D7195D21}"/>
                </c:ext>
              </c:extLst>
            </c:dLbl>
            <c:dLbl>
              <c:idx val="1"/>
              <c:layout>
                <c:manualLayout>
                  <c:x val="-4.7713945873822626E-2"/>
                  <c:y val="-6.881654328092709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64DF-464A-8C7A-2F624A50FAB6}"/>
                </c:ext>
              </c:extLst>
            </c:dLbl>
            <c:dLbl>
              <c:idx val="2"/>
              <c:layout>
                <c:manualLayout>
                  <c:x val="-4.4464487925631367E-2"/>
                  <c:y val="5.706699453266016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64DF-464A-8C7A-2F624A50FAB6}"/>
                </c:ext>
              </c:extLst>
            </c:dLbl>
            <c:dLbl>
              <c:idx val="3"/>
              <c:layout>
                <c:manualLayout>
                  <c:x val="-4.0561222530110567E-2"/>
                  <c:y val="7.217629410300417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D7FC-4A6C-A004-09F4D7195D21}"/>
                </c:ext>
              </c:extLst>
            </c:dLbl>
            <c:dLbl>
              <c:idx val="4"/>
              <c:layout>
                <c:manualLayout>
                  <c:x val="-5.3306822385456851E-2"/>
                  <c:y val="5.850000000000000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64DF-464A-8C7A-2F624A50FAB6}"/>
                </c:ext>
              </c:extLst>
            </c:dLbl>
            <c:spPr>
              <a:noFill/>
              <a:ln w="25372">
                <a:noFill/>
              </a:ln>
            </c:spPr>
            <c:txPr>
              <a:bodyPr/>
              <a:lstStyle/>
              <a:p>
                <a:pPr>
                  <a:defRPr sz="899">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2013</c:v>
                </c:pt>
                <c:pt idx="1">
                  <c:v>2014</c:v>
                </c:pt>
                <c:pt idx="2">
                  <c:v>2015</c:v>
                </c:pt>
                <c:pt idx="3">
                  <c:v>2016</c:v>
                </c:pt>
                <c:pt idx="4">
                  <c:v>2017</c:v>
                </c:pt>
              </c:numCache>
            </c:numRef>
          </c:cat>
          <c:val>
            <c:numRef>
              <c:f>Blad1!$C$3:$C$7</c:f>
              <c:numCache>
                <c:formatCode>0%</c:formatCode>
                <c:ptCount val="5"/>
                <c:pt idx="0">
                  <c:v>0.7</c:v>
                </c:pt>
                <c:pt idx="1">
                  <c:v>0.75</c:v>
                </c:pt>
                <c:pt idx="2">
                  <c:v>0.75</c:v>
                </c:pt>
                <c:pt idx="3">
                  <c:v>0.72</c:v>
                </c:pt>
                <c:pt idx="4">
                  <c:v>0.77</c:v>
                </c:pt>
              </c:numCache>
            </c:numRef>
          </c:val>
          <c:smooth val="0"/>
          <c:extLst xmlns:c16r2="http://schemas.microsoft.com/office/drawing/2015/06/chart">
            <c:ext xmlns:c16="http://schemas.microsoft.com/office/drawing/2014/chart" uri="{C3380CC4-5D6E-409C-BE32-E72D297353CC}">
              <c16:uniqueId val="{00000008-64DF-464A-8C7A-2F624A50FAB6}"/>
            </c:ext>
          </c:extLst>
        </c:ser>
        <c:dLbls>
          <c:showLegendKey val="0"/>
          <c:showVal val="0"/>
          <c:showCatName val="0"/>
          <c:showSerName val="0"/>
          <c:showPercent val="0"/>
          <c:showBubbleSize val="0"/>
        </c:dLbls>
        <c:marker val="1"/>
        <c:smooth val="0"/>
        <c:axId val="140189056"/>
        <c:axId val="140190848"/>
      </c:lineChart>
      <c:catAx>
        <c:axId val="140189056"/>
        <c:scaling>
          <c:orientation val="minMax"/>
        </c:scaling>
        <c:delete val="0"/>
        <c:axPos val="b"/>
        <c:numFmt formatCode="General" sourceLinked="1"/>
        <c:majorTickMark val="none"/>
        <c:minorTickMark val="none"/>
        <c:tickLblPos val="nextTo"/>
        <c:spPr>
          <a:noFill/>
          <a:ln w="12686"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40190848"/>
        <c:crosses val="autoZero"/>
        <c:auto val="1"/>
        <c:lblAlgn val="ctr"/>
        <c:lblOffset val="100"/>
        <c:noMultiLvlLbl val="0"/>
      </c:catAx>
      <c:valAx>
        <c:axId val="140190848"/>
        <c:scaling>
          <c:orientation val="minMax"/>
          <c:min val="0.5"/>
        </c:scaling>
        <c:delete val="1"/>
        <c:axPos val="l"/>
        <c:majorGridlines>
          <c:spPr>
            <a:ln w="9515" cap="flat" cmpd="sng" algn="ctr">
              <a:solidFill>
                <a:schemeClr val="tx1">
                  <a:lumMod val="15000"/>
                  <a:lumOff val="85000"/>
                </a:schemeClr>
              </a:solidFill>
              <a:round/>
            </a:ln>
            <a:effectLst/>
          </c:spPr>
        </c:majorGridlines>
        <c:numFmt formatCode="0%" sourceLinked="1"/>
        <c:majorTickMark val="out"/>
        <c:minorTickMark val="none"/>
        <c:tickLblPos val="nextTo"/>
        <c:crossAx val="140189056"/>
        <c:crosses val="autoZero"/>
        <c:crossBetween val="between"/>
      </c:valAx>
      <c:spPr>
        <a:noFill/>
        <a:ln w="25372">
          <a:noFill/>
        </a:ln>
      </c:spPr>
    </c:plotArea>
    <c:legend>
      <c:legendPos val="b"/>
      <c:layout/>
      <c:overlay val="0"/>
      <c:txPr>
        <a:bodyPr/>
        <a:lstStyle/>
        <a:p>
          <a:pPr>
            <a:defRPr sz="899">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Arial" panose="020B0604020202020204" pitchFamily="34" charset="0"/>
                <a:cs typeface="Arial" panose="020B0604020202020204" pitchFamily="34" charset="0"/>
              </a:defRPr>
            </a:pPr>
            <a:r>
              <a:rPr lang="en-US" sz="1100" b="0" i="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8 EU Pilot files opened against </a:t>
            </a:r>
            <a:r>
              <a:rPr lang="en-US" sz="1100" b="0" i="0" u="none" strike="noStrike" kern="120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Poland</a:t>
            </a:r>
            <a:endParaRPr lang="en-GB" sz="1100">
              <a:solidFill>
                <a:srgbClr val="002060"/>
              </a:solidFill>
              <a:effectLst/>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22687061658276322"/>
          <c:y val="4.2027843446283165E-2"/>
        </c:manualLayout>
      </c:layout>
      <c:overlay val="0"/>
    </c:title>
    <c:autoTitleDeleted val="0"/>
    <c:plotArea>
      <c:layout/>
      <c:pieChart>
        <c:varyColors val="1"/>
        <c:ser>
          <c:idx val="0"/>
          <c:order val="0"/>
          <c:tx>
            <c:strRef>
              <c:f>Blad1!$B$3:$B$7</c:f>
              <c:strCache>
                <c:ptCount val="1"/>
                <c:pt idx="0">
                  <c:v>2 2 2 1 1</c:v>
                </c:pt>
              </c:strCache>
            </c:strRef>
          </c:tx>
          <c:spPr>
            <a:scene3d>
              <a:camera prst="orthographicFront"/>
              <a:lightRig rig="threePt" dir="t"/>
            </a:scene3d>
            <a:sp3d>
              <a:bevelT w="63500" h="25400"/>
            </a:sp3d>
          </c:spPr>
          <c:dPt>
            <c:idx val="0"/>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6CE3-47FA-96A8-1D02D98802F0}"/>
              </c:ext>
            </c:extLst>
          </c:dPt>
          <c:dPt>
            <c:idx val="1"/>
            <c:bubble3D val="0"/>
            <c:spPr>
              <a:solidFill>
                <a:srgbClr val="E7511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6CE3-47FA-96A8-1D02D98802F0}"/>
              </c:ext>
            </c:extLst>
          </c:dPt>
          <c:dPt>
            <c:idx val="2"/>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6CE3-47FA-96A8-1D02D98802F0}"/>
              </c:ext>
            </c:extLst>
          </c:dPt>
          <c:dPt>
            <c:idx val="3"/>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6CE3-47FA-96A8-1D02D98802F0}"/>
              </c:ext>
            </c:extLst>
          </c:dPt>
          <c:dPt>
            <c:idx val="4"/>
            <c:bubble3D val="0"/>
            <c:spPr>
              <a:solidFill>
                <a:srgbClr val="37ACDE"/>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6CE3-47FA-96A8-1D02D98802F0}"/>
              </c:ext>
            </c:extLst>
          </c:dPt>
          <c:dLbls>
            <c:dLbl>
              <c:idx val="0"/>
              <c:layout>
                <c:manualLayout>
                  <c:x val="2.7707499677294438E-3"/>
                  <c:y val="-7.0187033707400703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6CE3-47FA-96A8-1D02D98802F0}"/>
                </c:ext>
              </c:extLst>
            </c:dLbl>
            <c:dLbl>
              <c:idx val="1"/>
              <c:layout>
                <c:manualLayout>
                  <c:x val="3.5512671571791228E-2"/>
                  <c:y val="2.9780726228119121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6CE3-47FA-96A8-1D02D98802F0}"/>
                </c:ext>
              </c:extLst>
            </c:dLbl>
            <c:dLbl>
              <c:idx val="2"/>
              <c:layout>
                <c:manualLayout>
                  <c:x val="5.4702895744589307E-3"/>
                  <c:y val="-0.18299295265257198"/>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6CE3-47FA-96A8-1D02D98802F0}"/>
                </c:ext>
              </c:extLst>
            </c:dLbl>
            <c:dLbl>
              <c:idx val="3"/>
              <c:layout>
                <c:manualLayout>
                  <c:x val="0.12359752162127276"/>
                  <c:y val="-2.2485378304089941E-4"/>
                </c:manualLayout>
              </c:layout>
              <c:spPr/>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6CE3-47FA-96A8-1D02D98802F0}"/>
                </c:ext>
              </c:extLst>
            </c:dLbl>
            <c:dLbl>
              <c:idx val="4"/>
              <c:layout>
                <c:manualLayout>
                  <c:x val="-8.2236842105263153E-3"/>
                  <c:y val="0"/>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6CE3-47FA-96A8-1D02D98802F0}"/>
                </c:ext>
              </c:extLst>
            </c:dLbl>
            <c:dLbl>
              <c:idx val="5"/>
              <c:layout>
                <c:manualLayout>
                  <c:x val="-5.4824561403508769E-3"/>
                  <c:y val="0"/>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6CE3-47FA-96A8-1D02D98802F0}"/>
                </c:ext>
              </c:extLst>
            </c:dLbl>
            <c:dLbl>
              <c:idx val="6"/>
              <c:layout>
                <c:manualLayout>
                  <c:x val="-3.8377192982456142E-2"/>
                  <c:y val="-6.605691056910569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6CE3-47FA-96A8-1D02D98802F0}"/>
                </c:ext>
              </c:extLst>
            </c:dLbl>
            <c:spPr>
              <a:noFill/>
              <a:ln w="25390">
                <a:noFill/>
              </a:ln>
            </c:spPr>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Blad1!$A$3:$A$7</c:f>
              <c:strCache>
                <c:ptCount val="5"/>
                <c:pt idx="0">
                  <c:v>Environment</c:v>
                </c:pt>
                <c:pt idx="1">
                  <c:v>Energy</c:v>
                </c:pt>
                <c:pt idx="2">
                  <c:v>Taxation and customs</c:v>
                </c:pt>
                <c:pt idx="3">
                  <c:v>Climate action</c:v>
                </c:pt>
                <c:pt idx="4">
                  <c:v>Migration and home affairs</c:v>
                </c:pt>
              </c:strCache>
            </c:strRef>
          </c:cat>
          <c:val>
            <c:numRef>
              <c:f>Blad1!$B$3:$B$7</c:f>
              <c:numCache>
                <c:formatCode>General</c:formatCode>
                <c:ptCount val="5"/>
                <c:pt idx="0">
                  <c:v>2</c:v>
                </c:pt>
                <c:pt idx="1">
                  <c:v>2</c:v>
                </c:pt>
                <c:pt idx="2">
                  <c:v>2</c:v>
                </c:pt>
                <c:pt idx="3">
                  <c:v>1</c:v>
                </c:pt>
                <c:pt idx="4">
                  <c:v>1</c:v>
                </c:pt>
              </c:numCache>
            </c:numRef>
          </c:val>
          <c:extLst xmlns:c16r2="http://schemas.microsoft.com/office/drawing/2015/06/chart">
            <c:ext xmlns:c16="http://schemas.microsoft.com/office/drawing/2014/chart" uri="{C3380CC4-5D6E-409C-BE32-E72D297353CC}">
              <c16:uniqueId val="{0000000C-6CE3-47FA-96A8-1D02D98802F0}"/>
            </c:ext>
          </c:extLst>
        </c:ser>
        <c:dLbls>
          <c:showLegendKey val="0"/>
          <c:showVal val="0"/>
          <c:showCatName val="0"/>
          <c:showSerName val="0"/>
          <c:showPercent val="0"/>
          <c:showBubbleSize val="0"/>
          <c:showLeaderLines val="0"/>
        </c:dLbls>
        <c:firstSliceAng val="237"/>
      </c:pieChart>
      <c:spPr>
        <a:noFill/>
        <a:ln w="25390">
          <a:noFill/>
        </a:ln>
      </c:spPr>
    </c:plotArea>
    <c:plotVisOnly val="1"/>
    <c:dispBlanksAs val="gap"/>
    <c:showDLblsOverMax val="0"/>
  </c:chart>
  <c:spPr>
    <a:solidFill>
      <a:schemeClr val="bg1"/>
    </a:solidFill>
    <a:ln w="952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3217993079584777E-2"/>
          <c:y val="4.8923679060665359E-2"/>
          <c:w val="0.93909191583610185"/>
          <c:h val="0.73152723578174428"/>
        </c:manualLayout>
      </c:layout>
      <c:lineChart>
        <c:grouping val="standard"/>
        <c:varyColors val="0"/>
        <c:ser>
          <c:idx val="0"/>
          <c:order val="0"/>
          <c:tx>
            <c:strRef>
              <c:f>Blad1!$B$2</c:f>
              <c:strCache>
                <c:ptCount val="1"/>
                <c:pt idx="0">
                  <c:v>Poland</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5.8312617947549945E-2"/>
                  <c:y val="7.522524596706121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C938-43A2-8396-795E8285A8F0}"/>
                </c:ext>
              </c:extLst>
            </c:dLbl>
            <c:dLbl>
              <c:idx val="1"/>
              <c:layout>
                <c:manualLayout>
                  <c:x val="-3.6234138088110886E-2"/>
                  <c:y val="5.537520529232091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C938-43A2-8396-795E8285A8F0}"/>
                </c:ext>
              </c:extLst>
            </c:dLbl>
            <c:dLbl>
              <c:idx val="2"/>
              <c:layout>
                <c:manualLayout>
                  <c:x val="-4.7210851540908379E-2"/>
                  <c:y val="-5.112316004359104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C938-43A2-8396-795E8285A8F0}"/>
                </c:ext>
              </c:extLst>
            </c:dLbl>
            <c:dLbl>
              <c:idx val="3"/>
              <c:layout>
                <c:manualLayout>
                  <c:x val="-5.9266356240353674E-2"/>
                  <c:y val="-6.462735046682213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C938-43A2-8396-795E8285A8F0}"/>
                </c:ext>
              </c:extLst>
            </c:dLbl>
            <c:dLbl>
              <c:idx val="4"/>
              <c:layout>
                <c:manualLayout>
                  <c:x val="-5.5502917507212424E-2"/>
                  <c:y val="7.03369863854737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C938-43A2-8396-795E8285A8F0}"/>
                </c:ext>
              </c:extLst>
            </c:dLbl>
            <c:spPr>
              <a:noFill/>
              <a:ln w="25387">
                <a:noFill/>
              </a:ln>
            </c:spPr>
            <c:txPr>
              <a:bodyPr/>
              <a:lstStyle/>
              <a:p>
                <a:pPr>
                  <a:defRPr sz="90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0%</c:formatCode>
                <c:ptCount val="5"/>
                <c:pt idx="0">
                  <c:v>0.56999999999999995</c:v>
                </c:pt>
                <c:pt idx="1">
                  <c:v>0.74</c:v>
                </c:pt>
                <c:pt idx="2">
                  <c:v>0.77</c:v>
                </c:pt>
                <c:pt idx="3">
                  <c:v>0.74</c:v>
                </c:pt>
                <c:pt idx="4">
                  <c:v>0.56999999999999995</c:v>
                </c:pt>
              </c:numCache>
            </c:numRef>
          </c:val>
          <c:smooth val="0"/>
          <c:extLst xmlns:c16r2="http://schemas.microsoft.com/office/drawing/2015/06/chart">
            <c:ext xmlns:c16="http://schemas.microsoft.com/office/drawing/2014/chart" uri="{C3380CC4-5D6E-409C-BE32-E72D297353CC}">
              <c16:uniqueId val="{00000005-C938-43A2-8396-795E8285A8F0}"/>
            </c:ext>
          </c:extLst>
        </c:ser>
        <c:ser>
          <c:idx val="1"/>
          <c:order val="1"/>
          <c:tx>
            <c:strRef>
              <c:f>Blad1!$C$2</c:f>
              <c:strCache>
                <c:ptCount val="1"/>
                <c:pt idx="0">
                  <c:v>General rate for all Member States</c:v>
                </c:pt>
              </c:strCache>
            </c:strRef>
          </c:tx>
          <c:spPr>
            <a:ln w="25387">
              <a:solidFill>
                <a:srgbClr val="92D050"/>
              </a:solidFill>
            </a:ln>
          </c:spPr>
          <c:marker>
            <c:symbol val="square"/>
            <c:size val="4"/>
            <c:spPr>
              <a:solidFill>
                <a:srgbClr val="92D050"/>
              </a:solidFill>
              <a:ln>
                <a:solidFill>
                  <a:srgbClr val="92D050"/>
                </a:solidFill>
              </a:ln>
            </c:spPr>
          </c:marker>
          <c:dLbls>
            <c:dLbl>
              <c:idx val="2"/>
              <c:layout>
                <c:manualLayout>
                  <c:x val="-4.8448330165625851E-2"/>
                  <c:y val="6.832237643048454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5DEA-49BE-9FB9-F176D9E6BA7E}"/>
                </c:ext>
              </c:extLst>
            </c:dLbl>
            <c:dLbl>
              <c:idx val="3"/>
              <c:layout>
                <c:manualLayout>
                  <c:x val="-5.0006975872202021E-2"/>
                  <c:y val="5.146627565982406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C938-43A2-8396-795E8285A8F0}"/>
                </c:ext>
              </c:extLst>
            </c:dLbl>
            <c:dLbl>
              <c:idx val="4"/>
              <c:layout>
                <c:manualLayout>
                  <c:x val="-5.2775525152379106E-2"/>
                  <c:y val="6.124144672531769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C938-43A2-8396-795E8285A8F0}"/>
                </c:ext>
              </c:extLst>
            </c:dLbl>
            <c:spPr>
              <a:noFill/>
              <a:ln w="25387">
                <a:noFill/>
              </a:ln>
            </c:spPr>
            <c:txPr>
              <a:bodyPr/>
              <a:lstStyle/>
              <a:p>
                <a:pPr>
                  <a:defRPr sz="900">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2013</c:v>
                </c:pt>
                <c:pt idx="1">
                  <c:v>2014</c:v>
                </c:pt>
                <c:pt idx="2">
                  <c:v>2015</c:v>
                </c:pt>
                <c:pt idx="3">
                  <c:v>2016</c:v>
                </c:pt>
                <c:pt idx="4">
                  <c:v>2017</c:v>
                </c:pt>
              </c:numCache>
            </c:numRef>
          </c:cat>
          <c:val>
            <c:numRef>
              <c:f>Blad1!$C$3:$C$7</c:f>
              <c:numCache>
                <c:formatCode>0%</c:formatCode>
                <c:ptCount val="5"/>
                <c:pt idx="0">
                  <c:v>0.7</c:v>
                </c:pt>
                <c:pt idx="1">
                  <c:v>0.75</c:v>
                </c:pt>
                <c:pt idx="2">
                  <c:v>0.75</c:v>
                </c:pt>
                <c:pt idx="3">
                  <c:v>0.72</c:v>
                </c:pt>
                <c:pt idx="4">
                  <c:v>0.77</c:v>
                </c:pt>
              </c:numCache>
            </c:numRef>
          </c:val>
          <c:smooth val="0"/>
          <c:extLst xmlns:c16r2="http://schemas.microsoft.com/office/drawing/2015/06/chart">
            <c:ext xmlns:c16="http://schemas.microsoft.com/office/drawing/2014/chart" uri="{C3380CC4-5D6E-409C-BE32-E72D297353CC}">
              <c16:uniqueId val="{00000008-C938-43A2-8396-795E8285A8F0}"/>
            </c:ext>
          </c:extLst>
        </c:ser>
        <c:dLbls>
          <c:showLegendKey val="0"/>
          <c:showVal val="0"/>
          <c:showCatName val="0"/>
          <c:showSerName val="0"/>
          <c:showPercent val="0"/>
          <c:showBubbleSize val="0"/>
        </c:dLbls>
        <c:marker val="1"/>
        <c:smooth val="0"/>
        <c:axId val="285197440"/>
        <c:axId val="285198976"/>
      </c:lineChart>
      <c:catAx>
        <c:axId val="285197440"/>
        <c:scaling>
          <c:orientation val="minMax"/>
        </c:scaling>
        <c:delete val="0"/>
        <c:axPos val="b"/>
        <c:numFmt formatCode="General" sourceLinked="1"/>
        <c:majorTickMark val="none"/>
        <c:minorTickMark val="none"/>
        <c:tickLblPos val="nextTo"/>
        <c:spPr>
          <a:noFill/>
          <a:ln w="12693"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285198976"/>
        <c:crosses val="autoZero"/>
        <c:auto val="1"/>
        <c:lblAlgn val="ctr"/>
        <c:lblOffset val="100"/>
        <c:noMultiLvlLbl val="0"/>
      </c:catAx>
      <c:valAx>
        <c:axId val="285198976"/>
        <c:scaling>
          <c:orientation val="minMax"/>
          <c:min val="0.5"/>
        </c:scaling>
        <c:delete val="1"/>
        <c:axPos val="l"/>
        <c:majorGridlines>
          <c:spPr>
            <a:ln w="9520" cap="flat" cmpd="sng" algn="ctr">
              <a:solidFill>
                <a:schemeClr val="tx1">
                  <a:lumMod val="15000"/>
                  <a:lumOff val="85000"/>
                </a:schemeClr>
              </a:solidFill>
              <a:round/>
            </a:ln>
            <a:effectLst/>
          </c:spPr>
        </c:majorGridlines>
        <c:numFmt formatCode="0%" sourceLinked="1"/>
        <c:majorTickMark val="out"/>
        <c:minorTickMark val="none"/>
        <c:tickLblPos val="nextTo"/>
        <c:crossAx val="285197440"/>
        <c:crosses val="autoZero"/>
        <c:crossBetween val="between"/>
      </c:valAx>
      <c:spPr>
        <a:noFill/>
        <a:ln w="25387">
          <a:noFill/>
        </a:ln>
      </c:spPr>
    </c:plotArea>
    <c:legend>
      <c:legendPos val="b"/>
      <c:overlay val="0"/>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2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Lbls>
            <c:dLbl>
              <c:idx val="0"/>
              <c:layout>
                <c:manualLayout>
                  <c:x val="-4.2277777777777775E-2"/>
                  <c:y val="-7.079096045197741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3F0C-45C1-BA2D-0C1742CCB919}"/>
                </c:ext>
              </c:extLst>
            </c:dLbl>
            <c:dLbl>
              <c:idx val="1"/>
              <c:layout>
                <c:manualLayout>
                  <c:x val="-4.2277777777777775E-2"/>
                  <c:y val="-6.369645246652583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3F0C-45C1-BA2D-0C1742CCB919}"/>
                </c:ext>
              </c:extLst>
            </c:dLbl>
            <c:spPr>
              <a:noFill/>
              <a:ln w="25358">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Blad1!$A$4:$A$8</c:f>
              <c:numCache>
                <c:formatCode>General</c:formatCode>
                <c:ptCount val="5"/>
                <c:pt idx="0">
                  <c:v>2013</c:v>
                </c:pt>
                <c:pt idx="1">
                  <c:v>2014</c:v>
                </c:pt>
                <c:pt idx="2">
                  <c:v>2015</c:v>
                </c:pt>
                <c:pt idx="3">
                  <c:v>2016</c:v>
                </c:pt>
                <c:pt idx="4">
                  <c:v>2017</c:v>
                </c:pt>
              </c:numCache>
            </c:numRef>
          </c:cat>
          <c:val>
            <c:numRef>
              <c:f>Blad1!$B$4:$B$8</c:f>
              <c:numCache>
                <c:formatCode>General</c:formatCode>
                <c:ptCount val="5"/>
                <c:pt idx="0">
                  <c:v>68</c:v>
                </c:pt>
                <c:pt idx="1">
                  <c:v>79</c:v>
                </c:pt>
                <c:pt idx="2">
                  <c:v>78</c:v>
                </c:pt>
                <c:pt idx="3">
                  <c:v>76</c:v>
                </c:pt>
                <c:pt idx="4">
                  <c:v>70</c:v>
                </c:pt>
              </c:numCache>
            </c:numRef>
          </c:val>
          <c:smooth val="0"/>
          <c:extLst xmlns:c16r2="http://schemas.microsoft.com/office/drawing/2015/06/chart">
            <c:ext xmlns:c16="http://schemas.microsoft.com/office/drawing/2014/chart" uri="{C3380CC4-5D6E-409C-BE32-E72D297353CC}">
              <c16:uniqueId val="{00000002-3F0C-45C1-BA2D-0C1742CCB919}"/>
            </c:ext>
          </c:extLst>
        </c:ser>
        <c:dLbls>
          <c:showLegendKey val="0"/>
          <c:showVal val="0"/>
          <c:showCatName val="0"/>
          <c:showSerName val="0"/>
          <c:showPercent val="0"/>
          <c:showBubbleSize val="0"/>
        </c:dLbls>
        <c:marker val="1"/>
        <c:smooth val="0"/>
        <c:axId val="311497088"/>
        <c:axId val="311498624"/>
      </c:lineChart>
      <c:catAx>
        <c:axId val="311497088"/>
        <c:scaling>
          <c:orientation val="minMax"/>
        </c:scaling>
        <c:delete val="0"/>
        <c:axPos val="b"/>
        <c:numFmt formatCode="General" sourceLinked="1"/>
        <c:majorTickMark val="none"/>
        <c:minorTickMark val="none"/>
        <c:tickLblPos val="nextTo"/>
        <c:spPr>
          <a:noFill/>
          <a:ln w="12679"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11498624"/>
        <c:crosses val="autoZero"/>
        <c:auto val="1"/>
        <c:lblAlgn val="ctr"/>
        <c:lblOffset val="100"/>
        <c:noMultiLvlLbl val="0"/>
      </c:catAx>
      <c:valAx>
        <c:axId val="311498624"/>
        <c:scaling>
          <c:orientation val="minMax"/>
          <c:min val="60"/>
        </c:scaling>
        <c:delete val="1"/>
        <c:axPos val="l"/>
        <c:majorGridlines>
          <c:spPr>
            <a:ln w="9509" cap="flat" cmpd="sng" algn="ctr">
              <a:solidFill>
                <a:schemeClr val="tx1">
                  <a:lumMod val="15000"/>
                  <a:lumOff val="85000"/>
                </a:schemeClr>
              </a:solidFill>
              <a:round/>
            </a:ln>
            <a:effectLst/>
          </c:spPr>
        </c:majorGridlines>
        <c:numFmt formatCode="General" sourceLinked="1"/>
        <c:majorTickMark val="out"/>
        <c:minorTickMark val="none"/>
        <c:tickLblPos val="nextTo"/>
        <c:crossAx val="311497088"/>
        <c:crosses val="autoZero"/>
        <c:crossBetween val="between"/>
      </c:valAx>
      <c:spPr>
        <a:noFill/>
        <a:ln w="25358">
          <a:noFill/>
        </a:ln>
      </c:spPr>
    </c:plotArea>
    <c:plotVisOnly val="1"/>
    <c:dispBlanksAs val="gap"/>
    <c:showDLblsOverMax val="0"/>
  </c:chart>
  <c:spPr>
    <a:solidFill>
      <a:schemeClr val="bg1"/>
    </a:solidFill>
    <a:ln w="950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098"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US" sz="1098" b="0" baseline="0">
                <a:solidFill>
                  <a:srgbClr val="002060"/>
                </a:solidFill>
                <a:latin typeface="Arial" panose="020B0604020202020204" pitchFamily="34" charset="0"/>
                <a:ea typeface="Verdana" panose="020B0604030504040204" pitchFamily="34" charset="0"/>
                <a:cs typeface="Arial" panose="020B0604020202020204" pitchFamily="34" charset="0"/>
              </a:rPr>
              <a:t>26 new </a:t>
            </a:r>
            <a:r>
              <a:rPr lang="en-US" sz="1098"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against</a:t>
            </a:r>
            <a:r>
              <a:rPr lang="en-US" sz="1098" b="0" baseline="0">
                <a:solidFill>
                  <a:srgbClr val="002060"/>
                </a:solidFill>
                <a:latin typeface="Arial" panose="020B0604020202020204" pitchFamily="34" charset="0"/>
                <a:ea typeface="Verdana" panose="020B0604030504040204" pitchFamily="34" charset="0"/>
                <a:cs typeface="Arial" panose="020B0604020202020204" pitchFamily="34" charset="0"/>
              </a:rPr>
              <a:t> </a:t>
            </a:r>
            <a:r>
              <a:rPr lang="en-US" sz="1098"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Poland</a:t>
            </a:r>
            <a:endParaRPr lang="en-US"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6218115768277933"/>
          <c:y val="3.2786849513805512E-2"/>
        </c:manualLayout>
      </c:layout>
      <c:overlay val="0"/>
      <c:spPr>
        <a:noFill/>
        <a:ln w="25345">
          <a:noFill/>
        </a:ln>
      </c:spPr>
    </c:title>
    <c:autoTitleDeleted val="0"/>
    <c:plotArea>
      <c:layout/>
      <c:pieChart>
        <c:varyColors val="1"/>
        <c:ser>
          <c:idx val="0"/>
          <c:order val="0"/>
          <c:tx>
            <c:strRef>
              <c:f>Blad1!$B$1</c:f>
              <c:strCache>
                <c:ptCount val="1"/>
                <c:pt idx="0">
                  <c:v>[Number of infringement cases] infringement cases against Austria</c:v>
                </c:pt>
              </c:strCache>
            </c:strRef>
          </c:tx>
          <c:spPr>
            <a:scene3d>
              <a:camera prst="orthographicFront"/>
              <a:lightRig rig="threePt" dir="t"/>
            </a:scene3d>
            <a:sp3d>
              <a:bevelT w="63500" h="25400"/>
            </a:sp3d>
          </c:spPr>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FB97-49C4-B777-BD5CB4A2E169}"/>
              </c:ext>
            </c:extLst>
          </c:dPt>
          <c:dPt>
            <c:idx val="1"/>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FB97-49C4-B777-BD5CB4A2E169}"/>
              </c:ext>
            </c:extLst>
          </c:dPt>
          <c:dPt>
            <c:idx val="2"/>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FB97-49C4-B777-BD5CB4A2E169}"/>
              </c:ext>
            </c:extLst>
          </c:dPt>
          <c:dPt>
            <c:idx val="3"/>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FB97-49C4-B777-BD5CB4A2E169}"/>
              </c:ext>
            </c:extLst>
          </c:dPt>
          <c:dPt>
            <c:idx val="4"/>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FB97-49C4-B777-BD5CB4A2E169}"/>
              </c:ext>
            </c:extLst>
          </c:dPt>
          <c:dPt>
            <c:idx val="5"/>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FB97-49C4-B777-BD5CB4A2E169}"/>
              </c:ext>
            </c:extLst>
          </c:dPt>
          <c:dPt>
            <c:idx val="6"/>
            <c:bubble3D val="0"/>
            <c:extLst xmlns:c16r2="http://schemas.microsoft.com/office/drawing/2015/06/chart">
              <c:ext xmlns:c16="http://schemas.microsoft.com/office/drawing/2014/chart" uri="{C3380CC4-5D6E-409C-BE32-E72D297353CC}">
                <c16:uniqueId val="{0000000C-FB97-49C4-B777-BD5CB4A2E169}"/>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B97-49C4-B777-BD5CB4A2E169}"/>
                </c:ext>
              </c:extLst>
            </c:dLbl>
            <c:dLbl>
              <c:idx val="1"/>
              <c:layout>
                <c:manualLayout>
                  <c:x val="-2.8800074823609185E-3"/>
                  <c:y val="8.9274540682414694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FB97-49C4-B777-BD5CB4A2E169}"/>
                </c:ext>
              </c:extLst>
            </c:dLbl>
            <c:dLbl>
              <c:idx val="2"/>
              <c:layout>
                <c:manualLayout>
                  <c:x val="3.8707130358705162E-2"/>
                  <c:y val="3.8100164702564651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FB97-49C4-B777-BD5CB4A2E169}"/>
                </c:ext>
              </c:extLst>
            </c:dLbl>
            <c:dLbl>
              <c:idx val="3"/>
              <c:layout>
                <c:manualLayout>
                  <c:x val="9.2975349128129586E-3"/>
                  <c:y val="1.543475065616797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FB97-49C4-B777-BD5CB4A2E169}"/>
                </c:ext>
              </c:extLst>
            </c:dLbl>
            <c:dLbl>
              <c:idx val="4"/>
              <c:layout>
                <c:manualLayout>
                  <c:x val="3.4511922089916935E-2"/>
                  <c:y val="4.4762204724409449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FB97-49C4-B777-BD5CB4A2E169}"/>
                </c:ext>
              </c:extLst>
            </c:dLbl>
            <c:dLbl>
              <c:idx val="5"/>
              <c:layout>
                <c:manualLayout>
                  <c:x val="-0.11577853644055218"/>
                  <c:y val="-0.12776151184455684"/>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FB97-49C4-B777-BD5CB4A2E169}"/>
                </c:ext>
              </c:extLst>
            </c:dLbl>
            <c:spPr>
              <a:noFill/>
              <a:ln w="25345">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Blad1!$A$2:$A$8</c:f>
              <c:strCache>
                <c:ptCount val="6"/>
                <c:pt idx="0">
                  <c:v>Policy Area</c:v>
                </c:pt>
                <c:pt idx="1">
                  <c:v>Mobility and transport</c:v>
                </c:pt>
                <c:pt idx="2">
                  <c:v>Environment</c:v>
                </c:pt>
                <c:pt idx="3">
                  <c:v>Justice and consumers</c:v>
                </c:pt>
                <c:pt idx="4">
                  <c:v>Financial stability, financial services and Capital Markets Union</c:v>
                </c:pt>
                <c:pt idx="5">
                  <c:v>Other</c:v>
                </c:pt>
              </c:strCache>
            </c:strRef>
          </c:cat>
          <c:val>
            <c:numRef>
              <c:f>Blad1!$B$2:$B$8</c:f>
              <c:numCache>
                <c:formatCode>General</c:formatCode>
                <c:ptCount val="7"/>
                <c:pt idx="0">
                  <c:v>0</c:v>
                </c:pt>
                <c:pt idx="1">
                  <c:v>6</c:v>
                </c:pt>
                <c:pt idx="2">
                  <c:v>4</c:v>
                </c:pt>
                <c:pt idx="3">
                  <c:v>3</c:v>
                </c:pt>
                <c:pt idx="4">
                  <c:v>3</c:v>
                </c:pt>
                <c:pt idx="5">
                  <c:v>10</c:v>
                </c:pt>
              </c:numCache>
            </c:numRef>
          </c:val>
          <c:extLst xmlns:c16r2="http://schemas.microsoft.com/office/drawing/2015/06/chart">
            <c:ext xmlns:c16="http://schemas.microsoft.com/office/drawing/2014/chart" uri="{C3380CC4-5D6E-409C-BE32-E72D297353CC}">
              <c16:uniqueId val="{0000000D-FB97-49C4-B777-BD5CB4A2E169}"/>
            </c:ext>
          </c:extLst>
        </c:ser>
        <c:dLbls>
          <c:showLegendKey val="0"/>
          <c:showVal val="0"/>
          <c:showCatName val="0"/>
          <c:showSerName val="0"/>
          <c:showPercent val="0"/>
          <c:showBubbleSize val="0"/>
          <c:showLeaderLines val="0"/>
        </c:dLbls>
        <c:firstSliceAng val="266"/>
      </c:pieChart>
      <c:spPr>
        <a:noFill/>
        <a:ln w="25345">
          <a:noFill/>
        </a:ln>
      </c:spPr>
    </c:plotArea>
    <c:plotVisOnly val="1"/>
    <c:dispBlanksAs val="gap"/>
    <c:showDLblsOverMax val="0"/>
  </c:chart>
  <c:spPr>
    <a:solidFill>
      <a:schemeClr val="bg1"/>
    </a:solidFill>
    <a:ln w="950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9444444444444445E-2"/>
          <c:y val="6.5476190476190479E-2"/>
          <c:w val="0.93888888888888888"/>
          <c:h val="0.80421819514422832"/>
        </c:manualLayout>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6.4266185476815396E-2"/>
                  <c:y val="4.66333021931580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02C6-4C53-9F3D-DA7BC640CF64}"/>
                </c:ext>
              </c:extLst>
            </c:dLbl>
            <c:spPr>
              <a:noFill/>
              <a:ln w="25411">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Blad1!$A$2:$A$6</c:f>
              <c:numCache>
                <c:formatCode>General</c:formatCode>
                <c:ptCount val="5"/>
                <c:pt idx="0">
                  <c:v>2013</c:v>
                </c:pt>
                <c:pt idx="1">
                  <c:v>2014</c:v>
                </c:pt>
                <c:pt idx="2">
                  <c:v>2015</c:v>
                </c:pt>
                <c:pt idx="3">
                  <c:v>2016</c:v>
                </c:pt>
                <c:pt idx="4">
                  <c:v>2017</c:v>
                </c:pt>
              </c:numCache>
            </c:numRef>
          </c:cat>
          <c:val>
            <c:numRef>
              <c:f>Blad1!$B$2:$B$6</c:f>
              <c:numCache>
                <c:formatCode>General</c:formatCode>
                <c:ptCount val="5"/>
                <c:pt idx="0">
                  <c:v>20</c:v>
                </c:pt>
                <c:pt idx="1">
                  <c:v>23</c:v>
                </c:pt>
                <c:pt idx="2">
                  <c:v>30</c:v>
                </c:pt>
                <c:pt idx="3">
                  <c:v>39</c:v>
                </c:pt>
                <c:pt idx="4">
                  <c:v>39</c:v>
                </c:pt>
              </c:numCache>
            </c:numRef>
          </c:val>
          <c:smooth val="0"/>
          <c:extLst xmlns:c16r2="http://schemas.microsoft.com/office/drawing/2015/06/chart">
            <c:ext xmlns:c16="http://schemas.microsoft.com/office/drawing/2014/chart" uri="{C3380CC4-5D6E-409C-BE32-E72D297353CC}">
              <c16:uniqueId val="{00000001-02C6-4C53-9F3D-DA7BC640CF64}"/>
            </c:ext>
          </c:extLst>
        </c:ser>
        <c:dLbls>
          <c:showLegendKey val="0"/>
          <c:showVal val="0"/>
          <c:showCatName val="0"/>
          <c:showSerName val="0"/>
          <c:showPercent val="0"/>
          <c:showBubbleSize val="0"/>
        </c:dLbls>
        <c:marker val="1"/>
        <c:smooth val="0"/>
        <c:axId val="311620352"/>
        <c:axId val="311621888"/>
      </c:lineChart>
      <c:catAx>
        <c:axId val="311620352"/>
        <c:scaling>
          <c:orientation val="minMax"/>
        </c:scaling>
        <c:delete val="0"/>
        <c:axPos val="b"/>
        <c:numFmt formatCode="General" sourceLinked="1"/>
        <c:majorTickMark val="none"/>
        <c:minorTickMark val="none"/>
        <c:tickLblPos val="nextTo"/>
        <c:spPr>
          <a:noFill/>
          <a:ln w="12706"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11621888"/>
        <c:crosses val="autoZero"/>
        <c:auto val="1"/>
        <c:lblAlgn val="ctr"/>
        <c:lblOffset val="100"/>
        <c:noMultiLvlLbl val="0"/>
      </c:catAx>
      <c:valAx>
        <c:axId val="311621888"/>
        <c:scaling>
          <c:orientation val="minMax"/>
          <c:min val="10"/>
        </c:scaling>
        <c:delete val="1"/>
        <c:axPos val="l"/>
        <c:majorGridlines>
          <c:spPr>
            <a:ln w="9529" cap="flat" cmpd="sng" algn="ctr">
              <a:solidFill>
                <a:schemeClr val="tx1">
                  <a:lumMod val="15000"/>
                  <a:lumOff val="85000"/>
                </a:schemeClr>
              </a:solidFill>
              <a:round/>
            </a:ln>
            <a:effectLst/>
          </c:spPr>
        </c:majorGridlines>
        <c:numFmt formatCode="General" sourceLinked="1"/>
        <c:majorTickMark val="out"/>
        <c:minorTickMark val="none"/>
        <c:tickLblPos val="nextTo"/>
        <c:crossAx val="311620352"/>
        <c:crosses val="autoZero"/>
        <c:crossBetween val="between"/>
      </c:valAx>
      <c:spPr>
        <a:noFill/>
        <a:ln w="25411">
          <a:noFill/>
        </a:ln>
      </c:spPr>
    </c:plotArea>
    <c:plotVisOnly val="1"/>
    <c:dispBlanksAs val="gap"/>
    <c:showDLblsOverMax val="0"/>
  </c:chart>
  <c:spPr>
    <a:solidFill>
      <a:schemeClr val="bg1"/>
    </a:solidFill>
    <a:ln w="952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9444444444444445E-2"/>
          <c:y val="6.5476190476190479E-2"/>
          <c:w val="0.93888888888888888"/>
          <c:h val="0.80421819514422832"/>
        </c:manualLayout>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3.3816412483323302E-2"/>
                  <c:y val="7.027419444909811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AEE6-43E6-9098-191FF471D641}"/>
                </c:ext>
              </c:extLst>
            </c:dLbl>
            <c:dLbl>
              <c:idx val="3"/>
              <c:layout>
                <c:manualLayout>
                  <c:x val="-4.2137320044296787E-2"/>
                  <c:y val="-6.223404255319147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74A4-445C-ACB3-27CD0FCF006E}"/>
                </c:ext>
              </c:extLst>
            </c:dLbl>
            <c:spPr>
              <a:noFill/>
              <a:ln w="25411">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Blad1!$A$2:$A$6</c:f>
              <c:numCache>
                <c:formatCode>General</c:formatCode>
                <c:ptCount val="5"/>
                <c:pt idx="0">
                  <c:v>2013</c:v>
                </c:pt>
                <c:pt idx="1">
                  <c:v>2014</c:v>
                </c:pt>
                <c:pt idx="2">
                  <c:v>2015</c:v>
                </c:pt>
                <c:pt idx="3">
                  <c:v>2016</c:v>
                </c:pt>
                <c:pt idx="4">
                  <c:v>2017</c:v>
                </c:pt>
              </c:numCache>
            </c:numRef>
          </c:cat>
          <c:val>
            <c:numRef>
              <c:f>Blad1!$B$2:$B$6</c:f>
              <c:numCache>
                <c:formatCode>General</c:formatCode>
                <c:ptCount val="5"/>
                <c:pt idx="0">
                  <c:v>15</c:v>
                </c:pt>
                <c:pt idx="1">
                  <c:v>18</c:v>
                </c:pt>
                <c:pt idx="2">
                  <c:v>22</c:v>
                </c:pt>
                <c:pt idx="3">
                  <c:v>36</c:v>
                </c:pt>
                <c:pt idx="4">
                  <c:v>21</c:v>
                </c:pt>
              </c:numCache>
            </c:numRef>
          </c:val>
          <c:smooth val="0"/>
          <c:extLst xmlns:c16r2="http://schemas.microsoft.com/office/drawing/2015/06/chart">
            <c:ext xmlns:c16="http://schemas.microsoft.com/office/drawing/2014/chart" uri="{C3380CC4-5D6E-409C-BE32-E72D297353CC}">
              <c16:uniqueId val="{00000001-AEE6-43E6-9098-191FF471D641}"/>
            </c:ext>
          </c:extLst>
        </c:ser>
        <c:dLbls>
          <c:showLegendKey val="0"/>
          <c:showVal val="0"/>
          <c:showCatName val="0"/>
          <c:showSerName val="0"/>
          <c:showPercent val="0"/>
          <c:showBubbleSize val="0"/>
        </c:dLbls>
        <c:marker val="1"/>
        <c:smooth val="0"/>
        <c:axId val="311979392"/>
        <c:axId val="311985280"/>
      </c:lineChart>
      <c:catAx>
        <c:axId val="311979392"/>
        <c:scaling>
          <c:orientation val="minMax"/>
        </c:scaling>
        <c:delete val="0"/>
        <c:axPos val="b"/>
        <c:numFmt formatCode="General" sourceLinked="1"/>
        <c:majorTickMark val="none"/>
        <c:minorTickMark val="none"/>
        <c:tickLblPos val="nextTo"/>
        <c:spPr>
          <a:noFill/>
          <a:ln w="12706"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11985280"/>
        <c:crosses val="autoZero"/>
        <c:auto val="1"/>
        <c:lblAlgn val="ctr"/>
        <c:lblOffset val="100"/>
        <c:noMultiLvlLbl val="0"/>
      </c:catAx>
      <c:valAx>
        <c:axId val="311985280"/>
        <c:scaling>
          <c:orientation val="minMax"/>
          <c:min val="10"/>
        </c:scaling>
        <c:delete val="1"/>
        <c:axPos val="l"/>
        <c:majorGridlines>
          <c:spPr>
            <a:ln w="9529" cap="flat" cmpd="sng" algn="ctr">
              <a:solidFill>
                <a:schemeClr val="tx1">
                  <a:lumMod val="15000"/>
                  <a:lumOff val="85000"/>
                </a:schemeClr>
              </a:solidFill>
              <a:round/>
            </a:ln>
            <a:effectLst/>
          </c:spPr>
        </c:majorGridlines>
        <c:numFmt formatCode="General" sourceLinked="1"/>
        <c:majorTickMark val="out"/>
        <c:minorTickMark val="none"/>
        <c:tickLblPos val="nextTo"/>
        <c:crossAx val="311979392"/>
        <c:crosses val="autoZero"/>
        <c:crossBetween val="between"/>
      </c:valAx>
      <c:spPr>
        <a:noFill/>
        <a:ln w="25411">
          <a:noFill/>
        </a:ln>
      </c:spPr>
    </c:plotArea>
    <c:plotVisOnly val="1"/>
    <c:dispBlanksAs val="gap"/>
    <c:showDLblsOverMax val="0"/>
  </c:chart>
  <c:spPr>
    <a:solidFill>
      <a:schemeClr val="bg1"/>
    </a:solidFill>
    <a:ln w="952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9"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nl-BE" sz="1099" b="0" baseline="0">
                <a:solidFill>
                  <a:srgbClr val="002060"/>
                </a:solidFill>
                <a:latin typeface="Arial" panose="020B0604020202020204" pitchFamily="34" charset="0"/>
                <a:ea typeface="Verdana" panose="020B0604030504040204" pitchFamily="34" charset="0"/>
                <a:cs typeface="Arial" panose="020B0604020202020204" pitchFamily="34" charset="0"/>
              </a:rPr>
              <a:t>21 new </a:t>
            </a:r>
            <a:r>
              <a:rPr lang="nl-BE" sz="1099" b="0">
                <a:solidFill>
                  <a:srgbClr val="002060"/>
                </a:solidFill>
                <a:latin typeface="Arial" panose="020B0604020202020204" pitchFamily="34" charset="0"/>
                <a:ea typeface="Verdana" panose="020B0604030504040204" pitchFamily="34" charset="0"/>
                <a:cs typeface="Arial" panose="020B0604020202020204" pitchFamily="34" charset="0"/>
              </a:rPr>
              <a:t>late transposition infringement cases against </a:t>
            </a:r>
            <a:r>
              <a:rPr lang="en-GB" sz="10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Poland</a:t>
            </a:r>
            <a:endParaRPr lang="nl-BE"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w="25379">
          <a:noFill/>
        </a:ln>
      </c:spPr>
    </c:title>
    <c:autoTitleDeleted val="0"/>
    <c:plotArea>
      <c:layout>
        <c:manualLayout>
          <c:layoutTarget val="inner"/>
          <c:xMode val="edge"/>
          <c:yMode val="edge"/>
          <c:x val="0.31614720034995625"/>
          <c:y val="0.26226409198850142"/>
          <c:w val="0.3723354111986002"/>
          <c:h val="0.6382892763404574"/>
        </c:manualLayout>
      </c:layout>
      <c:pieChart>
        <c:varyColors val="1"/>
        <c:ser>
          <c:idx val="0"/>
          <c:order val="0"/>
          <c:tx>
            <c:strRef>
              <c:f>Blad1!$B$1</c:f>
              <c:strCache>
                <c:ptCount val="1"/>
                <c:pt idx="0">
                  <c:v>[Number of late transposition cases] late transposition cases against [Member State]</c:v>
                </c:pt>
              </c:strCache>
            </c:strRef>
          </c:tx>
          <c:spPr>
            <a:scene3d>
              <a:camera prst="orthographicFront"/>
              <a:lightRig rig="threePt" dir="t"/>
            </a:scene3d>
            <a:sp3d>
              <a:bevelT w="63500" h="25400"/>
            </a:sp3d>
          </c:spPr>
          <c:dPt>
            <c:idx val="0"/>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B4E2-41C6-9B95-DF2098910578}"/>
              </c:ext>
            </c:extLst>
          </c:dPt>
          <c:dPt>
            <c:idx val="1"/>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B4E2-41C6-9B95-DF2098910578}"/>
              </c:ext>
            </c:extLst>
          </c:dPt>
          <c:dPt>
            <c:idx val="2"/>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B4E2-41C6-9B95-DF2098910578}"/>
              </c:ext>
            </c:extLst>
          </c:dPt>
          <c:dPt>
            <c:idx val="3"/>
            <c:bubble3D val="0"/>
            <c:spPr>
              <a:solidFill>
                <a:srgbClr val="996633"/>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B4E2-41C6-9B95-DF2098910578}"/>
              </c:ext>
            </c:extLst>
          </c:dPt>
          <c:dPt>
            <c:idx val="4"/>
            <c:bubble3D val="0"/>
            <c:spPr>
              <a:solidFill>
                <a:srgbClr val="FFD617"/>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B4E2-41C6-9B95-DF2098910578}"/>
              </c:ext>
            </c:extLst>
          </c:dPt>
          <c:dPt>
            <c:idx val="5"/>
            <c:bubble3D val="0"/>
            <c:spPr>
              <a:solidFill>
                <a:srgbClr val="FF7DFF"/>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B4E2-41C6-9B95-DF2098910578}"/>
              </c:ext>
            </c:extLst>
          </c:dPt>
          <c:dPt>
            <c:idx val="6"/>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D-B4E2-41C6-9B95-DF2098910578}"/>
              </c:ext>
            </c:extLst>
          </c:dPt>
          <c:dLbls>
            <c:dLbl>
              <c:idx val="0"/>
              <c:layout>
                <c:manualLayout>
                  <c:x val="-8.2893891375611251E-3"/>
                  <c:y val="7.8362370058073449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B4E2-41C6-9B95-DF2098910578}"/>
                </c:ext>
              </c:extLst>
            </c:dLbl>
            <c:dLbl>
              <c:idx val="1"/>
              <c:layout>
                <c:manualLayout>
                  <c:x val="-5.2176735169514599E-2"/>
                  <c:y val="-3.0107673548680432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B4E2-41C6-9B95-DF2098910578}"/>
                </c:ext>
              </c:extLst>
            </c:dLbl>
            <c:dLbl>
              <c:idx val="2"/>
              <c:layout>
                <c:manualLayout>
                  <c:x val="-2.5542592059713464E-3"/>
                  <c:y val="-9.4488188976377951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B4E2-41C6-9B95-DF2098910578}"/>
                </c:ext>
              </c:extLst>
            </c:dLbl>
            <c:dLbl>
              <c:idx val="3"/>
              <c:layout>
                <c:manualLayout>
                  <c:x val="6.0859716186928918E-2"/>
                  <c:y val="-0.10192903052472771"/>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B4E2-41C6-9B95-DF2098910578}"/>
                </c:ext>
              </c:extLst>
            </c:dLbl>
            <c:dLbl>
              <c:idx val="4"/>
              <c:layout>
                <c:manualLayout>
                  <c:x val="7.1858289498045111E-2"/>
                  <c:y val="0"/>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B4E2-41C6-9B95-DF2098910578}"/>
                </c:ext>
              </c:extLst>
            </c:dLbl>
            <c:dLbl>
              <c:idx val="5"/>
              <c:layout>
                <c:manualLayout>
                  <c:x val="-3.6051665740952504E-2"/>
                  <c:y val="0"/>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B4E2-41C6-9B95-DF2098910578}"/>
                </c:ext>
              </c:extLst>
            </c:dLbl>
            <c:spPr>
              <a:noFill/>
              <a:ln w="25379">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15:layout/>
              </c:ext>
            </c:extLst>
          </c:dLbls>
          <c:cat>
            <c:strRef>
              <c:f>Blad1!$A$4:$A$10</c:f>
              <c:strCache>
                <c:ptCount val="7"/>
                <c:pt idx="0">
                  <c:v>Mobility and transport</c:v>
                </c:pt>
                <c:pt idx="1">
                  <c:v>Environment</c:v>
                </c:pt>
                <c:pt idx="2">
                  <c:v>Financial stability, financial services and Capital Markets Union</c:v>
                </c:pt>
                <c:pt idx="3">
                  <c:v>Justice and consumers</c:v>
                </c:pt>
                <c:pt idx="4">
                  <c:v>Employment</c:v>
                </c:pt>
                <c:pt idx="5">
                  <c:v>Health and food safety</c:v>
                </c:pt>
                <c:pt idx="6">
                  <c:v>Other</c:v>
                </c:pt>
              </c:strCache>
            </c:strRef>
          </c:cat>
          <c:val>
            <c:numRef>
              <c:f>Blad1!$B$4:$B$10</c:f>
              <c:numCache>
                <c:formatCode>General</c:formatCode>
                <c:ptCount val="7"/>
                <c:pt idx="0">
                  <c:v>5</c:v>
                </c:pt>
                <c:pt idx="1">
                  <c:v>3</c:v>
                </c:pt>
                <c:pt idx="2">
                  <c:v>3</c:v>
                </c:pt>
                <c:pt idx="3">
                  <c:v>2</c:v>
                </c:pt>
                <c:pt idx="4">
                  <c:v>2</c:v>
                </c:pt>
                <c:pt idx="5">
                  <c:v>2</c:v>
                </c:pt>
                <c:pt idx="6">
                  <c:v>4</c:v>
                </c:pt>
              </c:numCache>
            </c:numRef>
          </c:val>
          <c:extLst xmlns:c16r2="http://schemas.microsoft.com/office/drawing/2015/06/chart">
            <c:ext xmlns:c16="http://schemas.microsoft.com/office/drawing/2014/chart" uri="{C3380CC4-5D6E-409C-BE32-E72D297353CC}">
              <c16:uniqueId val="{0000000E-B4E2-41C6-9B95-DF2098910578}"/>
            </c:ext>
          </c:extLst>
        </c:ser>
        <c:dLbls>
          <c:showLegendKey val="0"/>
          <c:showVal val="0"/>
          <c:showCatName val="0"/>
          <c:showSerName val="0"/>
          <c:showPercent val="0"/>
          <c:showBubbleSize val="0"/>
          <c:showLeaderLines val="0"/>
        </c:dLbls>
        <c:firstSliceAng val="291"/>
      </c:pieChart>
      <c:spPr>
        <a:noFill/>
        <a:ln w="25379">
          <a:noFill/>
        </a:ln>
      </c:spPr>
    </c:plotArea>
    <c:plotVisOnly val="1"/>
    <c:dispBlanksAs val="gap"/>
    <c:showDLblsOverMax val="0"/>
  </c:chart>
  <c:spPr>
    <a:solidFill>
      <a:schemeClr val="bg1"/>
    </a:solidFill>
    <a:ln w="9517"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1111111111111109E-2"/>
          <c:y val="8.3333333333333329E-2"/>
          <c:w val="0.93888888888888888"/>
          <c:h val="0.82822916666666668"/>
        </c:manualLayout>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0"/>
              <c:layout>
                <c:manualLayout>
                  <c:x val="-4.7654088221671255E-2"/>
                  <c:y val="8.983993137777093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D671-4F3C-9414-A673635FC7EC}"/>
                </c:ext>
              </c:extLst>
            </c:dLbl>
            <c:dLbl>
              <c:idx val="3"/>
              <c:layout>
                <c:manualLayout>
                  <c:x val="-4.7621132420688078E-2"/>
                  <c:y val="8.998660881675504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D671-4F3C-9414-A673635FC7EC}"/>
                </c:ext>
              </c:extLst>
            </c:dLbl>
            <c:spPr>
              <a:noFill/>
              <a:ln w="25361">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General</c:formatCode>
                <c:ptCount val="5"/>
                <c:pt idx="0">
                  <c:v>74</c:v>
                </c:pt>
                <c:pt idx="1">
                  <c:v>105</c:v>
                </c:pt>
                <c:pt idx="2">
                  <c:v>88</c:v>
                </c:pt>
                <c:pt idx="3">
                  <c:v>76</c:v>
                </c:pt>
                <c:pt idx="4">
                  <c:v>111</c:v>
                </c:pt>
              </c:numCache>
            </c:numRef>
          </c:val>
          <c:smooth val="0"/>
          <c:extLst xmlns:c16r2="http://schemas.microsoft.com/office/drawing/2015/06/chart">
            <c:ext xmlns:c16="http://schemas.microsoft.com/office/drawing/2014/chart" uri="{C3380CC4-5D6E-409C-BE32-E72D297353CC}">
              <c16:uniqueId val="{00000002-8425-481C-BA4B-6B544E693D14}"/>
            </c:ext>
          </c:extLst>
        </c:ser>
        <c:dLbls>
          <c:showLegendKey val="0"/>
          <c:showVal val="0"/>
          <c:showCatName val="0"/>
          <c:showSerName val="0"/>
          <c:showPercent val="0"/>
          <c:showBubbleSize val="0"/>
        </c:dLbls>
        <c:marker val="1"/>
        <c:smooth val="0"/>
        <c:axId val="315023744"/>
        <c:axId val="315025280"/>
      </c:lineChart>
      <c:catAx>
        <c:axId val="315023744"/>
        <c:scaling>
          <c:orientation val="minMax"/>
        </c:scaling>
        <c:delete val="0"/>
        <c:axPos val="b"/>
        <c:numFmt formatCode="General" sourceLinked="1"/>
        <c:majorTickMark val="none"/>
        <c:minorTickMark val="none"/>
        <c:tickLblPos val="nextTo"/>
        <c:spPr>
          <a:noFill/>
          <a:ln w="12680"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15025280"/>
        <c:crosses val="autoZero"/>
        <c:auto val="1"/>
        <c:lblAlgn val="ctr"/>
        <c:lblOffset val="100"/>
        <c:noMultiLvlLbl val="0"/>
      </c:catAx>
      <c:valAx>
        <c:axId val="315025280"/>
        <c:scaling>
          <c:orientation val="minMax"/>
          <c:min val="50"/>
        </c:scaling>
        <c:delete val="1"/>
        <c:axPos val="l"/>
        <c:majorGridlines>
          <c:spPr>
            <a:ln w="9510" cap="flat" cmpd="sng" algn="ctr">
              <a:solidFill>
                <a:schemeClr val="tx1">
                  <a:lumMod val="15000"/>
                  <a:lumOff val="85000"/>
                </a:schemeClr>
              </a:solidFill>
              <a:round/>
            </a:ln>
            <a:effectLst/>
          </c:spPr>
        </c:majorGridlines>
        <c:numFmt formatCode="General" sourceLinked="1"/>
        <c:majorTickMark val="out"/>
        <c:minorTickMark val="none"/>
        <c:tickLblPos val="nextTo"/>
        <c:crossAx val="315023744"/>
        <c:crosses val="autoZero"/>
        <c:crossBetween val="between"/>
      </c:valAx>
      <c:spPr>
        <a:noFill/>
        <a:ln w="25361">
          <a:noFill/>
        </a:ln>
      </c:spPr>
    </c:plotArea>
    <c:plotVisOnly val="1"/>
    <c:dispBlanksAs val="gap"/>
    <c:showDLblsOverMax val="0"/>
  </c:chart>
  <c:spPr>
    <a:solidFill>
      <a:schemeClr val="bg1"/>
    </a:solidFill>
    <a:ln w="951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8" b="0" i="0" u="none" strike="noStrike" kern="1200" baseline="0">
                <a:solidFill>
                  <a:srgbClr val="002060"/>
                </a:solidFill>
                <a:latin typeface="+mn-lt"/>
                <a:ea typeface="+mn-ea"/>
                <a:cs typeface="+mn-cs"/>
              </a:defRPr>
            </a:pPr>
            <a:r>
              <a:rPr lang="en-US" sz="1098" b="0" i="0">
                <a:solidFill>
                  <a:srgbClr val="002060"/>
                </a:solidFill>
                <a:latin typeface="Arial" panose="020B0604020202020204" pitchFamily="34" charset="0"/>
                <a:ea typeface="Verdana" panose="020B0604030504040204" pitchFamily="34" charset="0"/>
                <a:cs typeface="Arial" panose="020B0604020202020204" pitchFamily="34" charset="0"/>
              </a:rPr>
              <a:t>111 complaints made against </a:t>
            </a:r>
            <a:r>
              <a:rPr lang="en-US" sz="1098"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Portugal</a:t>
            </a:r>
            <a:endParaRPr lang="en-US" sz="1100" b="0" i="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w="25358">
          <a:noFill/>
        </a:ln>
      </c:spPr>
    </c:title>
    <c:autoTitleDeleted val="0"/>
    <c:plotArea>
      <c:layout/>
      <c:pieChart>
        <c:varyColors val="1"/>
        <c:ser>
          <c:idx val="0"/>
          <c:order val="0"/>
          <c:tx>
            <c:strRef>
              <c:f>Blad1!$B$1</c:f>
              <c:strCache>
                <c:ptCount val="1"/>
                <c:pt idx="0">
                  <c:v>[Number of new complaints] complaints made against [Member State]</c:v>
                </c:pt>
              </c:strCache>
            </c:strRef>
          </c:tx>
          <c:spPr>
            <a:scene3d>
              <a:camera prst="orthographicFront"/>
              <a:lightRig rig="threePt" dir="t"/>
            </a:scene3d>
            <a:sp3d>
              <a:bevelT w="63500" h="25400"/>
            </a:sp3d>
          </c:spPr>
          <c:dPt>
            <c:idx val="0"/>
            <c:bubble3D val="0"/>
            <c:spPr>
              <a:solidFill>
                <a:srgbClr val="FFD617"/>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369B-413A-A6E4-FB548DC351E4}"/>
              </c:ext>
            </c:extLst>
          </c:dPt>
          <c:dPt>
            <c:idx val="1"/>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369B-413A-A6E4-FB548DC351E4}"/>
              </c:ext>
            </c:extLst>
          </c:dPt>
          <c:dPt>
            <c:idx val="2"/>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369B-413A-A6E4-FB548DC351E4}"/>
              </c:ext>
            </c:extLst>
          </c:dPt>
          <c:dPt>
            <c:idx val="3"/>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369B-413A-A6E4-FB548DC351E4}"/>
              </c:ext>
            </c:extLst>
          </c:dPt>
          <c:dPt>
            <c:idx val="4"/>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369B-413A-A6E4-FB548DC351E4}"/>
              </c:ext>
            </c:extLst>
          </c:dPt>
          <c:dLbls>
            <c:dLbl>
              <c:idx val="0"/>
              <c:layout>
                <c:manualLayout>
                  <c:x val="-0.14583325232494088"/>
                  <c:y val="0.11009271018542037"/>
                </c:manualLayout>
              </c:layout>
              <c:spPr>
                <a:noFill/>
                <a:ln w="25358">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369B-413A-A6E4-FB548DC351E4}"/>
                </c:ext>
              </c:extLst>
            </c:dLbl>
            <c:dLbl>
              <c:idx val="1"/>
              <c:layout>
                <c:manualLayout>
                  <c:x val="-1.0971560653683722E-2"/>
                  <c:y val="-0.10065151130302261"/>
                </c:manualLayout>
              </c:layout>
              <c:spPr>
                <a:noFill/>
                <a:ln w="25358">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369B-413A-A6E4-FB548DC351E4}"/>
                </c:ext>
              </c:extLst>
            </c:dLbl>
            <c:dLbl>
              <c:idx val="2"/>
              <c:layout>
                <c:manualLayout>
                  <c:x val="5.5015499605759154E-2"/>
                  <c:y val="-8.6218355770044872E-2"/>
                </c:manualLayout>
              </c:layout>
              <c:spPr>
                <a:noFill/>
                <a:ln w="25358">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369B-413A-A6E4-FB548DC351E4}"/>
                </c:ext>
              </c:extLst>
            </c:dLbl>
            <c:dLbl>
              <c:idx val="3"/>
              <c:layout>
                <c:manualLayout>
                  <c:x val="-7.150715071507148E-2"/>
                  <c:y val="-0.18401723838147993"/>
                </c:manualLayout>
              </c:layout>
              <c:spPr>
                <a:noFill/>
                <a:ln w="25358">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369B-413A-A6E4-FB548DC351E4}"/>
                </c:ext>
              </c:extLst>
            </c:dLbl>
            <c:spPr>
              <a:noFill/>
              <a:ln w="25358">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Blad1!$A$3:$A$6</c:f>
              <c:strCache>
                <c:ptCount val="4"/>
                <c:pt idx="0">
                  <c:v>Employment</c:v>
                </c:pt>
                <c:pt idx="1">
                  <c:v>Justice and consumers</c:v>
                </c:pt>
                <c:pt idx="2">
                  <c:v>Taxation and customs</c:v>
                </c:pt>
                <c:pt idx="3">
                  <c:v>Other</c:v>
                </c:pt>
              </c:strCache>
            </c:strRef>
          </c:cat>
          <c:val>
            <c:numRef>
              <c:f>Blad1!$B$3:$B$6</c:f>
              <c:numCache>
                <c:formatCode>General</c:formatCode>
                <c:ptCount val="4"/>
                <c:pt idx="0">
                  <c:v>35</c:v>
                </c:pt>
                <c:pt idx="1">
                  <c:v>21</c:v>
                </c:pt>
                <c:pt idx="2">
                  <c:v>17</c:v>
                </c:pt>
                <c:pt idx="3">
                  <c:v>38</c:v>
                </c:pt>
              </c:numCache>
            </c:numRef>
          </c:val>
          <c:extLst xmlns:c16r2="http://schemas.microsoft.com/office/drawing/2015/06/chart">
            <c:ext xmlns:c16="http://schemas.microsoft.com/office/drawing/2014/chart" uri="{C3380CC4-5D6E-409C-BE32-E72D297353CC}">
              <c16:uniqueId val="{0000000A-369B-413A-A6E4-FB548DC351E4}"/>
            </c:ext>
          </c:extLst>
        </c:ser>
        <c:dLbls>
          <c:showLegendKey val="0"/>
          <c:showVal val="0"/>
          <c:showCatName val="0"/>
          <c:showSerName val="0"/>
          <c:showPercent val="0"/>
          <c:showBubbleSize val="0"/>
          <c:showLeaderLines val="0"/>
        </c:dLbls>
        <c:firstSliceAng val="295"/>
      </c:pieChart>
      <c:spPr>
        <a:noFill/>
        <a:ln w="25358">
          <a:noFill/>
        </a:ln>
      </c:spPr>
    </c:plotArea>
    <c:plotVisOnly val="1"/>
    <c:dispBlanksAs val="gap"/>
    <c:showDLblsOverMax val="0"/>
  </c:chart>
  <c:spPr>
    <a:solidFill>
      <a:schemeClr val="bg1"/>
    </a:solidFill>
    <a:ln w="950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1"/>
              <c:layout>
                <c:manualLayout>
                  <c:x val="-3.7631724902939548E-2"/>
                  <c:y val="6.814481804639274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A3A6-4E5B-A6BC-BFE3CC6F0360}"/>
                </c:ext>
              </c:extLst>
            </c:dLbl>
            <c:dLbl>
              <c:idx val="4"/>
              <c:layout>
                <c:manualLayout>
                  <c:x val="-3.7631724902939548E-2"/>
                  <c:y val="5.125248279775838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A3A6-4E5B-A6BC-BFE3CC6F0360}"/>
                </c:ext>
              </c:extLst>
            </c:dLbl>
            <c:spPr>
              <a:noFill/>
              <a:ln w="25382">
                <a:noFill/>
              </a:ln>
            </c:spPr>
            <c:txPr>
              <a:bodyPr rot="0" vert="horz"/>
              <a:lstStyle/>
              <a:p>
                <a:pPr>
                  <a:defRPr>
                    <a:solidFill>
                      <a:schemeClr val="accent2"/>
                    </a:solidFill>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General</c:formatCode>
                <c:ptCount val="5"/>
                <c:pt idx="0">
                  <c:v>36</c:v>
                </c:pt>
                <c:pt idx="1">
                  <c:v>45</c:v>
                </c:pt>
                <c:pt idx="2">
                  <c:v>42</c:v>
                </c:pt>
                <c:pt idx="3">
                  <c:v>32</c:v>
                </c:pt>
                <c:pt idx="4">
                  <c:v>6</c:v>
                </c:pt>
              </c:numCache>
            </c:numRef>
          </c:val>
          <c:smooth val="0"/>
          <c:extLst xmlns:c16r2="http://schemas.microsoft.com/office/drawing/2015/06/chart">
            <c:ext xmlns:c16="http://schemas.microsoft.com/office/drawing/2014/chart" uri="{C3380CC4-5D6E-409C-BE32-E72D297353CC}">
              <c16:uniqueId val="{00000002-A3A6-4E5B-A6BC-BFE3CC6F0360}"/>
            </c:ext>
          </c:extLst>
        </c:ser>
        <c:dLbls>
          <c:showLegendKey val="0"/>
          <c:showVal val="0"/>
          <c:showCatName val="0"/>
          <c:showSerName val="0"/>
          <c:showPercent val="0"/>
          <c:showBubbleSize val="0"/>
        </c:dLbls>
        <c:marker val="1"/>
        <c:smooth val="0"/>
        <c:axId val="315409536"/>
        <c:axId val="315411072"/>
      </c:lineChart>
      <c:catAx>
        <c:axId val="315409536"/>
        <c:scaling>
          <c:orientation val="minMax"/>
        </c:scaling>
        <c:delete val="0"/>
        <c:axPos val="b"/>
        <c:numFmt formatCode="General" sourceLinked="1"/>
        <c:majorTickMark val="none"/>
        <c:minorTickMark val="none"/>
        <c:tickLblPos val="nextTo"/>
        <c:spPr>
          <a:noFill/>
          <a:ln w="12691" cap="flat" cmpd="sng" algn="ctr">
            <a:solidFill>
              <a:schemeClr val="tx1">
                <a:lumMod val="15000"/>
                <a:lumOff val="85000"/>
              </a:schemeClr>
            </a:solidFill>
            <a:round/>
          </a:ln>
          <a:effectLst/>
        </c:spPr>
        <c:txPr>
          <a:bodyPr rot="-60000000" vert="horz"/>
          <a:lstStyle/>
          <a:p>
            <a:pPr>
              <a:defRPr sz="899">
                <a:latin typeface="Arial" panose="020B0604020202020204" pitchFamily="34" charset="0"/>
                <a:cs typeface="Arial" panose="020B0604020202020204" pitchFamily="34" charset="0"/>
              </a:defRPr>
            </a:pPr>
            <a:endParaRPr lang="en-US"/>
          </a:p>
        </c:txPr>
        <c:crossAx val="315411072"/>
        <c:crosses val="autoZero"/>
        <c:auto val="1"/>
        <c:lblAlgn val="ctr"/>
        <c:lblOffset val="100"/>
        <c:noMultiLvlLbl val="0"/>
      </c:catAx>
      <c:valAx>
        <c:axId val="315411072"/>
        <c:scaling>
          <c:orientation val="minMax"/>
        </c:scaling>
        <c:delete val="1"/>
        <c:axPos val="l"/>
        <c:majorGridlines>
          <c:spPr>
            <a:ln w="9518" cap="flat" cmpd="sng" algn="ctr">
              <a:solidFill>
                <a:schemeClr val="tx1">
                  <a:lumMod val="15000"/>
                  <a:lumOff val="85000"/>
                </a:schemeClr>
              </a:solidFill>
              <a:round/>
            </a:ln>
            <a:effectLst/>
          </c:spPr>
        </c:majorGridlines>
        <c:numFmt formatCode="General" sourceLinked="1"/>
        <c:majorTickMark val="out"/>
        <c:minorTickMark val="none"/>
        <c:tickLblPos val="nextTo"/>
        <c:crossAx val="315409536"/>
        <c:crosses val="autoZero"/>
        <c:crossBetween val="between"/>
      </c:valAx>
      <c:spPr>
        <a:noFill/>
        <a:ln w="25382">
          <a:noFill/>
        </a:ln>
      </c:spPr>
    </c:plotArea>
    <c:plotVisOnly val="1"/>
    <c:dispBlanksAs val="gap"/>
    <c:showDLblsOverMax val="0"/>
  </c:chart>
  <c:spPr>
    <a:solidFill>
      <a:schemeClr val="bg1"/>
    </a:solidFill>
    <a:ln w="9518" cap="flat" cmpd="sng" algn="ctr">
      <a:solidFill>
        <a:schemeClr val="tx1">
          <a:lumMod val="15000"/>
          <a:lumOff val="85000"/>
        </a:schemeClr>
      </a:solidFill>
      <a:round/>
    </a:ln>
    <a:effectLst/>
  </c:spPr>
  <c:txPr>
    <a:bodyPr/>
    <a:lstStyle/>
    <a:p>
      <a:pPr>
        <a:defRPr>
          <a:solidFill>
            <a:srgbClr val="002060"/>
          </a:solidFill>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Lbls>
            <c:dLbl>
              <c:idx val="1"/>
              <c:layout>
                <c:manualLayout>
                  <c:x val="-5.8944444444444445E-2"/>
                  <c:y val="6.632623892310490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5314-4E36-A0AE-8E28B1069AD3}"/>
                </c:ext>
              </c:extLst>
            </c:dLbl>
            <c:spPr>
              <a:noFill/>
              <a:ln w="25411">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Blad1!$A$4:$A$8</c:f>
              <c:numCache>
                <c:formatCode>General</c:formatCode>
                <c:ptCount val="5"/>
                <c:pt idx="0">
                  <c:v>2013</c:v>
                </c:pt>
                <c:pt idx="1">
                  <c:v>2014</c:v>
                </c:pt>
                <c:pt idx="2">
                  <c:v>2015</c:v>
                </c:pt>
                <c:pt idx="3">
                  <c:v>2016</c:v>
                </c:pt>
                <c:pt idx="4">
                  <c:v>2017</c:v>
                </c:pt>
              </c:numCache>
            </c:numRef>
          </c:cat>
          <c:val>
            <c:numRef>
              <c:f>Blad1!$B$4:$B$8</c:f>
              <c:numCache>
                <c:formatCode>General</c:formatCode>
                <c:ptCount val="5"/>
                <c:pt idx="0">
                  <c:v>32</c:v>
                </c:pt>
                <c:pt idx="1">
                  <c:v>36</c:v>
                </c:pt>
                <c:pt idx="2">
                  <c:v>37</c:v>
                </c:pt>
                <c:pt idx="3">
                  <c:v>50</c:v>
                </c:pt>
                <c:pt idx="4">
                  <c:v>44</c:v>
                </c:pt>
              </c:numCache>
            </c:numRef>
          </c:val>
          <c:smooth val="0"/>
          <c:extLst xmlns:c16r2="http://schemas.microsoft.com/office/drawing/2015/06/chart">
            <c:ext xmlns:c16="http://schemas.microsoft.com/office/drawing/2014/chart" uri="{C3380CC4-5D6E-409C-BE32-E72D297353CC}">
              <c16:uniqueId val="{00000001-5314-4E36-A0AE-8E28B1069AD3}"/>
            </c:ext>
          </c:extLst>
        </c:ser>
        <c:dLbls>
          <c:showLegendKey val="0"/>
          <c:showVal val="0"/>
          <c:showCatName val="0"/>
          <c:showSerName val="0"/>
          <c:showPercent val="0"/>
          <c:showBubbleSize val="0"/>
        </c:dLbls>
        <c:marker val="1"/>
        <c:smooth val="0"/>
        <c:axId val="140204288"/>
        <c:axId val="140206080"/>
      </c:lineChart>
      <c:catAx>
        <c:axId val="140204288"/>
        <c:scaling>
          <c:orientation val="minMax"/>
        </c:scaling>
        <c:delete val="0"/>
        <c:axPos val="b"/>
        <c:numFmt formatCode="General" sourceLinked="1"/>
        <c:majorTickMark val="none"/>
        <c:minorTickMark val="none"/>
        <c:tickLblPos val="nextTo"/>
        <c:spPr>
          <a:noFill/>
          <a:ln w="12706"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40206080"/>
        <c:crosses val="autoZero"/>
        <c:auto val="1"/>
        <c:lblAlgn val="ctr"/>
        <c:lblOffset val="100"/>
        <c:noMultiLvlLbl val="0"/>
      </c:catAx>
      <c:valAx>
        <c:axId val="140206080"/>
        <c:scaling>
          <c:orientation val="minMax"/>
          <c:min val="25"/>
        </c:scaling>
        <c:delete val="1"/>
        <c:axPos val="l"/>
        <c:majorGridlines>
          <c:spPr>
            <a:ln w="9529" cap="flat" cmpd="sng" algn="ctr">
              <a:solidFill>
                <a:schemeClr val="tx1">
                  <a:lumMod val="15000"/>
                  <a:lumOff val="85000"/>
                </a:schemeClr>
              </a:solidFill>
              <a:round/>
            </a:ln>
            <a:effectLst/>
          </c:spPr>
        </c:majorGridlines>
        <c:numFmt formatCode="General" sourceLinked="1"/>
        <c:majorTickMark val="out"/>
        <c:minorTickMark val="none"/>
        <c:tickLblPos val="nextTo"/>
        <c:crossAx val="140204288"/>
        <c:crosses val="autoZero"/>
        <c:crossBetween val="between"/>
      </c:valAx>
      <c:spPr>
        <a:noFill/>
        <a:ln w="25411">
          <a:noFill/>
        </a:ln>
      </c:spPr>
    </c:plotArea>
    <c:plotVisOnly val="1"/>
    <c:dispBlanksAs val="gap"/>
    <c:showDLblsOverMax val="0"/>
  </c:chart>
  <c:spPr>
    <a:solidFill>
      <a:schemeClr val="bg1"/>
    </a:solidFill>
    <a:ln w="952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1"/>
              <c:layout>
                <c:manualLayout>
                  <c:x val="-3.7631724902939548E-2"/>
                  <c:y val="6.814481804639274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47BE-4985-B9B2-5B3BD995E172}"/>
                </c:ext>
              </c:extLst>
            </c:dLbl>
            <c:dLbl>
              <c:idx val="4"/>
              <c:layout>
                <c:manualLayout>
                  <c:x val="-3.7631724902939548E-2"/>
                  <c:y val="5.125248279775838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47BE-4985-B9B2-5B3BD995E172}"/>
                </c:ext>
              </c:extLst>
            </c:dLbl>
            <c:spPr>
              <a:noFill/>
              <a:ln w="25382">
                <a:noFill/>
              </a:ln>
            </c:spPr>
            <c:txPr>
              <a:bodyPr rot="0" vert="horz"/>
              <a:lstStyle/>
              <a:p>
                <a:pPr>
                  <a:defRPr>
                    <a:solidFill>
                      <a:schemeClr val="accent2"/>
                    </a:solidFill>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General</c:formatCode>
                <c:ptCount val="5"/>
                <c:pt idx="0">
                  <c:v>38</c:v>
                </c:pt>
                <c:pt idx="1">
                  <c:v>55</c:v>
                </c:pt>
                <c:pt idx="2">
                  <c:v>57</c:v>
                </c:pt>
                <c:pt idx="3">
                  <c:v>46</c:v>
                </c:pt>
                <c:pt idx="4">
                  <c:v>28</c:v>
                </c:pt>
              </c:numCache>
            </c:numRef>
          </c:val>
          <c:smooth val="0"/>
          <c:extLst xmlns:c16r2="http://schemas.microsoft.com/office/drawing/2015/06/chart">
            <c:ext xmlns:c16="http://schemas.microsoft.com/office/drawing/2014/chart" uri="{C3380CC4-5D6E-409C-BE32-E72D297353CC}">
              <c16:uniqueId val="{00000002-47BE-4985-B9B2-5B3BD995E172}"/>
            </c:ext>
          </c:extLst>
        </c:ser>
        <c:dLbls>
          <c:showLegendKey val="0"/>
          <c:showVal val="0"/>
          <c:showCatName val="0"/>
          <c:showSerName val="0"/>
          <c:showPercent val="0"/>
          <c:showBubbleSize val="0"/>
        </c:dLbls>
        <c:marker val="1"/>
        <c:smooth val="0"/>
        <c:axId val="325201920"/>
        <c:axId val="325203456"/>
      </c:lineChart>
      <c:catAx>
        <c:axId val="325201920"/>
        <c:scaling>
          <c:orientation val="minMax"/>
        </c:scaling>
        <c:delete val="0"/>
        <c:axPos val="b"/>
        <c:numFmt formatCode="General" sourceLinked="1"/>
        <c:majorTickMark val="none"/>
        <c:minorTickMark val="none"/>
        <c:tickLblPos val="nextTo"/>
        <c:spPr>
          <a:noFill/>
          <a:ln w="12691" cap="flat" cmpd="sng" algn="ctr">
            <a:solidFill>
              <a:schemeClr val="tx1">
                <a:lumMod val="15000"/>
                <a:lumOff val="85000"/>
              </a:schemeClr>
            </a:solidFill>
            <a:round/>
          </a:ln>
          <a:effectLst/>
        </c:spPr>
        <c:txPr>
          <a:bodyPr rot="-60000000" vert="horz"/>
          <a:lstStyle/>
          <a:p>
            <a:pPr>
              <a:defRPr sz="899">
                <a:latin typeface="Arial" panose="020B0604020202020204" pitchFamily="34" charset="0"/>
                <a:cs typeface="Arial" panose="020B0604020202020204" pitchFamily="34" charset="0"/>
              </a:defRPr>
            </a:pPr>
            <a:endParaRPr lang="en-US"/>
          </a:p>
        </c:txPr>
        <c:crossAx val="325203456"/>
        <c:crosses val="autoZero"/>
        <c:auto val="1"/>
        <c:lblAlgn val="ctr"/>
        <c:lblOffset val="100"/>
        <c:noMultiLvlLbl val="0"/>
      </c:catAx>
      <c:valAx>
        <c:axId val="325203456"/>
        <c:scaling>
          <c:orientation val="minMax"/>
        </c:scaling>
        <c:delete val="1"/>
        <c:axPos val="l"/>
        <c:majorGridlines>
          <c:spPr>
            <a:ln w="9518" cap="flat" cmpd="sng" algn="ctr">
              <a:solidFill>
                <a:schemeClr val="tx1">
                  <a:lumMod val="15000"/>
                  <a:lumOff val="85000"/>
                </a:schemeClr>
              </a:solidFill>
              <a:round/>
            </a:ln>
            <a:effectLst/>
          </c:spPr>
        </c:majorGridlines>
        <c:numFmt formatCode="General" sourceLinked="1"/>
        <c:majorTickMark val="out"/>
        <c:minorTickMark val="none"/>
        <c:tickLblPos val="nextTo"/>
        <c:crossAx val="325201920"/>
        <c:crosses val="autoZero"/>
        <c:crossBetween val="between"/>
      </c:valAx>
      <c:spPr>
        <a:noFill/>
        <a:ln w="25382">
          <a:noFill/>
        </a:ln>
      </c:spPr>
    </c:plotArea>
    <c:plotVisOnly val="1"/>
    <c:dispBlanksAs val="gap"/>
    <c:showDLblsOverMax val="0"/>
  </c:chart>
  <c:spPr>
    <a:solidFill>
      <a:schemeClr val="bg1"/>
    </a:solidFill>
    <a:ln w="9518" cap="flat" cmpd="sng" algn="ctr">
      <a:solidFill>
        <a:schemeClr val="tx1">
          <a:lumMod val="15000"/>
          <a:lumOff val="85000"/>
        </a:schemeClr>
      </a:solidFill>
      <a:round/>
    </a:ln>
    <a:effectLst/>
  </c:spPr>
  <c:txPr>
    <a:bodyPr/>
    <a:lstStyle/>
    <a:p>
      <a:pPr>
        <a:defRPr>
          <a:solidFill>
            <a:srgbClr val="002060"/>
          </a:solidFill>
        </a:defRPr>
      </a:pPr>
      <a:endParaRPr lang="en-US"/>
    </a:p>
  </c:txPr>
  <c:externalData r:id="rId2">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Arial" panose="020B0604020202020204" pitchFamily="34" charset="0"/>
                <a:cs typeface="Arial" panose="020B0604020202020204" pitchFamily="34" charset="0"/>
              </a:defRPr>
            </a:pPr>
            <a:r>
              <a:rPr lang="en-US" sz="1100" b="0" i="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6 EU Pilot files opened against </a:t>
            </a:r>
            <a:r>
              <a:rPr lang="en-US" sz="1100" b="0" i="0" u="none" strike="noStrike" kern="120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Portugal</a:t>
            </a:r>
            <a:endParaRPr lang="en-GB" sz="1100">
              <a:solidFill>
                <a:srgbClr val="002060"/>
              </a:solidFill>
              <a:effectLst/>
              <a:latin typeface="Arial" panose="020B0604020202020204" pitchFamily="34" charset="0"/>
              <a:ea typeface="Verdana" panose="020B0604030504040204" pitchFamily="34" charset="0"/>
              <a:cs typeface="Arial" panose="020B0604020202020204" pitchFamily="34" charset="0"/>
            </a:endParaRPr>
          </a:p>
        </c:rich>
      </c:tx>
      <c:overlay val="0"/>
    </c:title>
    <c:autoTitleDeleted val="0"/>
    <c:plotArea>
      <c:layout/>
      <c:pieChart>
        <c:varyColors val="1"/>
        <c:ser>
          <c:idx val="0"/>
          <c:order val="0"/>
          <c:tx>
            <c:strRef>
              <c:f>Blad1!$B$1</c:f>
              <c:strCache>
                <c:ptCount val="1"/>
                <c:pt idx="0">
                  <c:v>[Number of new EU Pilot files ] EU Pilot files opened against [Member State]</c:v>
                </c:pt>
              </c:strCache>
            </c:strRef>
          </c:tx>
          <c:spPr>
            <a:scene3d>
              <a:camera prst="orthographicFront"/>
              <a:lightRig rig="threePt" dir="t"/>
            </a:scene3d>
            <a:sp3d>
              <a:bevelT w="63500" h="25400"/>
            </a:sp3d>
          </c:spPr>
          <c:dPt>
            <c:idx val="0"/>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2C9B-48CD-8B60-FC5E69C5F91E}"/>
              </c:ext>
            </c:extLst>
          </c:dPt>
          <c:dPt>
            <c:idx val="1"/>
            <c:bubble3D val="0"/>
            <c:spPr>
              <a:solidFill>
                <a:srgbClr val="37ACDE"/>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2C9B-48CD-8B60-FC5E69C5F91E}"/>
              </c:ext>
            </c:extLst>
          </c:dPt>
          <c:dPt>
            <c:idx val="2"/>
            <c:bubble3D val="0"/>
            <c:spPr>
              <a:solidFill>
                <a:srgbClr val="E7511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2C9B-48CD-8B60-FC5E69C5F91E}"/>
              </c:ext>
            </c:extLst>
          </c:dPt>
          <c:dPt>
            <c:idx val="3"/>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2C9B-48CD-8B60-FC5E69C5F91E}"/>
              </c:ext>
            </c:extLst>
          </c:dPt>
          <c:dPt>
            <c:idx val="4"/>
            <c:bubble3D val="0"/>
            <c:spPr>
              <a:solidFill>
                <a:srgbClr val="E75113"/>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2C9B-48CD-8B60-FC5E69C5F91E}"/>
              </c:ext>
            </c:extLst>
          </c:dPt>
          <c:dLbls>
            <c:dLbl>
              <c:idx val="0"/>
              <c:layout>
                <c:manualLayout>
                  <c:x val="0.18860333032141474"/>
                  <c:y val="0"/>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2C9B-48CD-8B60-FC5E69C5F91E}"/>
                </c:ext>
              </c:extLst>
            </c:dLbl>
            <c:dLbl>
              <c:idx val="1"/>
              <c:layout>
                <c:manualLayout>
                  <c:x val="5.3726173572565721E-3"/>
                  <c:y val="-0.14986126734158225"/>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2C9B-48CD-8B60-FC5E69C5F91E}"/>
                </c:ext>
              </c:extLst>
            </c:dLbl>
            <c:dLbl>
              <c:idx val="2"/>
              <c:layout>
                <c:manualLayout>
                  <c:x val="-1.3700357127490211E-2"/>
                  <c:y val="1.148273132525101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2C9B-48CD-8B60-FC5E69C5F91E}"/>
                </c:ext>
              </c:extLst>
            </c:dLbl>
            <c:dLbl>
              <c:idx val="3"/>
              <c:layout>
                <c:manualLayout>
                  <c:x val="2.4463822919167787E-2"/>
                  <c:y val="-0.15132850593570041"/>
                </c:manualLayout>
              </c:layout>
              <c:spPr>
                <a:noFill/>
                <a:ln w="25390">
                  <a:noFill/>
                </a:ln>
              </c:spPr>
              <c:txPr>
                <a:bodyPr/>
                <a:lstStyle/>
                <a:p>
                  <a:pPr>
                    <a:defRPr sz="820">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2C9B-48CD-8B60-FC5E69C5F91E}"/>
                </c:ext>
              </c:extLst>
            </c:dLbl>
            <c:dLbl>
              <c:idx val="4"/>
              <c:layout>
                <c:manualLayout>
                  <c:x val="0.10964912280701754"/>
                  <c:y val="0"/>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2C9B-48CD-8B60-FC5E69C5F91E}"/>
                </c:ext>
              </c:extLst>
            </c:dLbl>
            <c:dLbl>
              <c:idx val="5"/>
              <c:layout>
                <c:manualLayout>
                  <c:x val="1.6447368421052631E-2"/>
                  <c:y val="9.3156105424536533E-17"/>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2C9B-48CD-8B60-FC5E69C5F91E}"/>
                </c:ext>
              </c:extLst>
            </c:dLbl>
            <c:dLbl>
              <c:idx val="6"/>
              <c:layout>
                <c:manualLayout>
                  <c:x val="2.741228070175451E-3"/>
                  <c:y val="-4.065040650406504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2C9B-48CD-8B60-FC5E69C5F91E}"/>
                </c:ext>
              </c:extLst>
            </c:dLbl>
            <c:spPr>
              <a:noFill/>
              <a:ln w="25390">
                <a:noFill/>
              </a:ln>
            </c:spPr>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Blad1!$A$3:$A$6</c:f>
              <c:strCache>
                <c:ptCount val="4"/>
                <c:pt idx="0">
                  <c:v>Environment</c:v>
                </c:pt>
                <c:pt idx="1">
                  <c:v>Climate action</c:v>
                </c:pt>
                <c:pt idx="2">
                  <c:v>Energy</c:v>
                </c:pt>
                <c:pt idx="3">
                  <c:v>Internal market, industry, entrepreneurship and SMEs</c:v>
                </c:pt>
              </c:strCache>
            </c:strRef>
          </c:cat>
          <c:val>
            <c:numRef>
              <c:f>Blad1!$B$3:$B$6</c:f>
              <c:numCache>
                <c:formatCode>General</c:formatCode>
                <c:ptCount val="4"/>
                <c:pt idx="0">
                  <c:v>1</c:v>
                </c:pt>
                <c:pt idx="1">
                  <c:v>2</c:v>
                </c:pt>
                <c:pt idx="2">
                  <c:v>2</c:v>
                </c:pt>
                <c:pt idx="3">
                  <c:v>1</c:v>
                </c:pt>
              </c:numCache>
            </c:numRef>
          </c:val>
          <c:extLst xmlns:c16r2="http://schemas.microsoft.com/office/drawing/2015/06/chart">
            <c:ext xmlns:c16="http://schemas.microsoft.com/office/drawing/2014/chart" uri="{C3380CC4-5D6E-409C-BE32-E72D297353CC}">
              <c16:uniqueId val="{0000000C-2C9B-48CD-8B60-FC5E69C5F91E}"/>
            </c:ext>
          </c:extLst>
        </c:ser>
        <c:dLbls>
          <c:showLegendKey val="0"/>
          <c:showVal val="0"/>
          <c:showCatName val="0"/>
          <c:showSerName val="0"/>
          <c:showPercent val="0"/>
          <c:showBubbleSize val="0"/>
          <c:showLeaderLines val="0"/>
        </c:dLbls>
        <c:firstSliceAng val="149"/>
      </c:pieChart>
      <c:spPr>
        <a:noFill/>
        <a:ln w="25390">
          <a:noFill/>
        </a:ln>
      </c:spPr>
    </c:plotArea>
    <c:plotVisOnly val="1"/>
    <c:dispBlanksAs val="gap"/>
    <c:showDLblsOverMax val="0"/>
  </c:chart>
  <c:spPr>
    <a:solidFill>
      <a:schemeClr val="bg1"/>
    </a:solidFill>
    <a:ln w="952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Blad1!$B$2</c:f>
              <c:strCache>
                <c:ptCount val="1"/>
                <c:pt idx="0">
                  <c:v>Portugal</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4.9685860931304525E-2"/>
                  <c:y val="7.003218769951052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5B20-4D56-8EAE-3B881C643ED4}"/>
                </c:ext>
              </c:extLst>
            </c:dLbl>
            <c:dLbl>
              <c:idx val="1"/>
              <c:layout>
                <c:manualLayout>
                  <c:x val="-6.6199336469079981E-2"/>
                  <c:y val="6.48022598870056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5B20-4D56-8EAE-3B881C643ED4}"/>
                </c:ext>
              </c:extLst>
            </c:dLbl>
            <c:dLbl>
              <c:idx val="3"/>
              <c:layout>
                <c:manualLayout>
                  <c:x val="-5.6440624377398371E-2"/>
                  <c:y val="6.438854041549890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5B20-4D56-8EAE-3B881C643ED4}"/>
                </c:ext>
              </c:extLst>
            </c:dLbl>
            <c:spPr>
              <a:noFill/>
              <a:ln w="25358">
                <a:noFill/>
              </a:ln>
            </c:spPr>
            <c:txPr>
              <a:bodyPr/>
              <a:lstStyle/>
              <a:p>
                <a:pPr>
                  <a:defRPr sz="899">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0%</c:formatCode>
                <c:ptCount val="5"/>
                <c:pt idx="0">
                  <c:v>0.67</c:v>
                </c:pt>
                <c:pt idx="1">
                  <c:v>0.62</c:v>
                </c:pt>
                <c:pt idx="2">
                  <c:v>0.7</c:v>
                </c:pt>
                <c:pt idx="3">
                  <c:v>0.69</c:v>
                </c:pt>
                <c:pt idx="4">
                  <c:v>0.71</c:v>
                </c:pt>
              </c:numCache>
            </c:numRef>
          </c:val>
          <c:smooth val="0"/>
          <c:extLst xmlns:c16r2="http://schemas.microsoft.com/office/drawing/2015/06/chart">
            <c:ext xmlns:c16="http://schemas.microsoft.com/office/drawing/2014/chart" uri="{C3380CC4-5D6E-409C-BE32-E72D297353CC}">
              <c16:uniqueId val="{00000003-5B20-4D56-8EAE-3B881C643ED4}"/>
            </c:ext>
          </c:extLst>
        </c:ser>
        <c:ser>
          <c:idx val="1"/>
          <c:order val="1"/>
          <c:tx>
            <c:strRef>
              <c:f>Blad1!$C$2</c:f>
              <c:strCache>
                <c:ptCount val="1"/>
                <c:pt idx="0">
                  <c:v>General rate for all Member States</c:v>
                </c:pt>
              </c:strCache>
            </c:strRef>
          </c:tx>
          <c:spPr>
            <a:ln w="25358">
              <a:solidFill>
                <a:srgbClr val="92D050"/>
              </a:solidFill>
            </a:ln>
          </c:spPr>
          <c:marker>
            <c:symbol val="square"/>
            <c:size val="4"/>
            <c:spPr>
              <a:solidFill>
                <a:srgbClr val="92D050"/>
              </a:solidFill>
              <a:ln>
                <a:solidFill>
                  <a:srgbClr val="92D050"/>
                </a:solidFill>
              </a:ln>
            </c:spPr>
          </c:marker>
          <c:dLbls>
            <c:dLbl>
              <c:idx val="1"/>
              <c:layout>
                <c:manualLayout>
                  <c:x val="-5.2427171851043369E-2"/>
                  <c:y val="-5.350282485875706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5B20-4D56-8EAE-3B881C643ED4}"/>
                </c:ext>
              </c:extLst>
            </c:dLbl>
            <c:spPr>
              <a:noFill/>
              <a:ln w="25358">
                <a:noFill/>
              </a:ln>
            </c:spPr>
            <c:txPr>
              <a:bodyPr/>
              <a:lstStyle/>
              <a:p>
                <a:pPr>
                  <a:defRPr sz="899">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2013</c:v>
                </c:pt>
                <c:pt idx="1">
                  <c:v>2014</c:v>
                </c:pt>
                <c:pt idx="2">
                  <c:v>2015</c:v>
                </c:pt>
                <c:pt idx="3">
                  <c:v>2016</c:v>
                </c:pt>
                <c:pt idx="4">
                  <c:v>2017</c:v>
                </c:pt>
              </c:numCache>
            </c:numRef>
          </c:cat>
          <c:val>
            <c:numRef>
              <c:f>Blad1!$C$3:$C$7</c:f>
              <c:numCache>
                <c:formatCode>0%</c:formatCode>
                <c:ptCount val="5"/>
                <c:pt idx="0">
                  <c:v>0.7</c:v>
                </c:pt>
                <c:pt idx="1">
                  <c:v>0.75</c:v>
                </c:pt>
                <c:pt idx="2">
                  <c:v>0.75</c:v>
                </c:pt>
                <c:pt idx="3">
                  <c:v>0.72</c:v>
                </c:pt>
                <c:pt idx="4">
                  <c:v>0.77</c:v>
                </c:pt>
              </c:numCache>
            </c:numRef>
          </c:val>
          <c:smooth val="0"/>
          <c:extLst xmlns:c16r2="http://schemas.microsoft.com/office/drawing/2015/06/chart">
            <c:ext xmlns:c16="http://schemas.microsoft.com/office/drawing/2014/chart" uri="{C3380CC4-5D6E-409C-BE32-E72D297353CC}">
              <c16:uniqueId val="{00000005-5B20-4D56-8EAE-3B881C643ED4}"/>
            </c:ext>
          </c:extLst>
        </c:ser>
        <c:dLbls>
          <c:showLegendKey val="0"/>
          <c:showVal val="0"/>
          <c:showCatName val="0"/>
          <c:showSerName val="0"/>
          <c:showPercent val="0"/>
          <c:showBubbleSize val="0"/>
        </c:dLbls>
        <c:marker val="1"/>
        <c:smooth val="0"/>
        <c:axId val="325389696"/>
        <c:axId val="325407872"/>
      </c:lineChart>
      <c:catAx>
        <c:axId val="325389696"/>
        <c:scaling>
          <c:orientation val="minMax"/>
        </c:scaling>
        <c:delete val="0"/>
        <c:axPos val="b"/>
        <c:numFmt formatCode="General" sourceLinked="1"/>
        <c:majorTickMark val="none"/>
        <c:minorTickMark val="none"/>
        <c:tickLblPos val="nextTo"/>
        <c:spPr>
          <a:noFill/>
          <a:ln w="12679"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25407872"/>
        <c:crosses val="autoZero"/>
        <c:auto val="1"/>
        <c:lblAlgn val="ctr"/>
        <c:lblOffset val="100"/>
        <c:noMultiLvlLbl val="0"/>
      </c:catAx>
      <c:valAx>
        <c:axId val="325407872"/>
        <c:scaling>
          <c:orientation val="minMax"/>
          <c:min val="0.5"/>
        </c:scaling>
        <c:delete val="1"/>
        <c:axPos val="l"/>
        <c:majorGridlines>
          <c:spPr>
            <a:ln w="9509" cap="flat" cmpd="sng" algn="ctr">
              <a:solidFill>
                <a:schemeClr val="tx1">
                  <a:lumMod val="15000"/>
                  <a:lumOff val="85000"/>
                </a:schemeClr>
              </a:solidFill>
              <a:round/>
            </a:ln>
            <a:effectLst/>
          </c:spPr>
        </c:majorGridlines>
        <c:numFmt formatCode="0%" sourceLinked="1"/>
        <c:majorTickMark val="out"/>
        <c:minorTickMark val="none"/>
        <c:tickLblPos val="nextTo"/>
        <c:crossAx val="325389696"/>
        <c:crosses val="autoZero"/>
        <c:crossBetween val="between"/>
      </c:valAx>
      <c:spPr>
        <a:noFill/>
        <a:ln w="25358">
          <a:noFill/>
        </a:ln>
      </c:spPr>
    </c:plotArea>
    <c:legend>
      <c:legendPos val="b"/>
      <c:layout>
        <c:manualLayout>
          <c:xMode val="edge"/>
          <c:yMode val="edge"/>
          <c:x val="9.8609200165768754E-2"/>
          <c:y val="0.87599145239588416"/>
          <c:w val="0.78077922364967534"/>
          <c:h val="9.0110329129212796E-2"/>
        </c:manualLayout>
      </c:layout>
      <c:overlay val="0"/>
      <c:txPr>
        <a:bodyPr/>
        <a:lstStyle/>
        <a:p>
          <a:pPr>
            <a:defRPr sz="899">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0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Lbls>
            <c:spPr>
              <a:noFill/>
              <a:ln w="25386">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Blad1!$A$4:$A$8</c:f>
              <c:numCache>
                <c:formatCode>General</c:formatCode>
                <c:ptCount val="5"/>
                <c:pt idx="0">
                  <c:v>2013</c:v>
                </c:pt>
                <c:pt idx="1">
                  <c:v>2014</c:v>
                </c:pt>
                <c:pt idx="2">
                  <c:v>2015</c:v>
                </c:pt>
                <c:pt idx="3">
                  <c:v>2016</c:v>
                </c:pt>
                <c:pt idx="4">
                  <c:v>2017</c:v>
                </c:pt>
              </c:numCache>
            </c:numRef>
          </c:cat>
          <c:val>
            <c:numRef>
              <c:f>Blad1!$B$4:$B$8</c:f>
              <c:numCache>
                <c:formatCode>General</c:formatCode>
                <c:ptCount val="5"/>
                <c:pt idx="0">
                  <c:v>51</c:v>
                </c:pt>
                <c:pt idx="1">
                  <c:v>52</c:v>
                </c:pt>
                <c:pt idx="2">
                  <c:v>55</c:v>
                </c:pt>
                <c:pt idx="3">
                  <c:v>84</c:v>
                </c:pt>
                <c:pt idx="4">
                  <c:v>85</c:v>
                </c:pt>
              </c:numCache>
            </c:numRef>
          </c:val>
          <c:smooth val="0"/>
          <c:extLst xmlns:c16r2="http://schemas.microsoft.com/office/drawing/2015/06/chart">
            <c:ext xmlns:c16="http://schemas.microsoft.com/office/drawing/2014/chart" uri="{C3380CC4-5D6E-409C-BE32-E72D297353CC}">
              <c16:uniqueId val="{00000000-C853-4AC3-89FF-F2EBA32728C0}"/>
            </c:ext>
          </c:extLst>
        </c:ser>
        <c:dLbls>
          <c:showLegendKey val="0"/>
          <c:showVal val="0"/>
          <c:showCatName val="0"/>
          <c:showSerName val="0"/>
          <c:showPercent val="0"/>
          <c:showBubbleSize val="0"/>
        </c:dLbls>
        <c:marker val="1"/>
        <c:smooth val="0"/>
        <c:axId val="325544192"/>
        <c:axId val="325562368"/>
      </c:lineChart>
      <c:catAx>
        <c:axId val="325544192"/>
        <c:scaling>
          <c:orientation val="minMax"/>
        </c:scaling>
        <c:delete val="0"/>
        <c:axPos val="b"/>
        <c:numFmt formatCode="General" sourceLinked="1"/>
        <c:majorTickMark val="none"/>
        <c:minorTickMark val="none"/>
        <c:tickLblPos val="nextTo"/>
        <c:spPr>
          <a:noFill/>
          <a:ln w="12693"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25562368"/>
        <c:crosses val="autoZero"/>
        <c:auto val="1"/>
        <c:lblAlgn val="ctr"/>
        <c:lblOffset val="100"/>
        <c:noMultiLvlLbl val="0"/>
      </c:catAx>
      <c:valAx>
        <c:axId val="325562368"/>
        <c:scaling>
          <c:orientation val="minMax"/>
          <c:min val="40"/>
        </c:scaling>
        <c:delete val="1"/>
        <c:axPos val="l"/>
        <c:majorGridlines>
          <c:spPr>
            <a:ln w="9520" cap="flat" cmpd="sng" algn="ctr">
              <a:solidFill>
                <a:schemeClr val="tx1">
                  <a:lumMod val="15000"/>
                  <a:lumOff val="85000"/>
                </a:schemeClr>
              </a:solidFill>
              <a:round/>
            </a:ln>
            <a:effectLst/>
          </c:spPr>
        </c:majorGridlines>
        <c:numFmt formatCode="General" sourceLinked="1"/>
        <c:majorTickMark val="out"/>
        <c:minorTickMark val="none"/>
        <c:tickLblPos val="nextTo"/>
        <c:crossAx val="325544192"/>
        <c:crosses val="autoZero"/>
        <c:crossBetween val="between"/>
      </c:valAx>
      <c:spPr>
        <a:noFill/>
        <a:ln w="25386">
          <a:noFill/>
        </a:ln>
      </c:spPr>
    </c:plotArea>
    <c:plotVisOnly val="1"/>
    <c:dispBlanksAs val="gap"/>
    <c:showDLblsOverMax val="0"/>
  </c:chart>
  <c:spPr>
    <a:solidFill>
      <a:schemeClr val="bg1"/>
    </a:solidFill>
    <a:ln w="952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8"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US" sz="1098" b="0" baseline="0">
                <a:solidFill>
                  <a:srgbClr val="002060"/>
                </a:solidFill>
                <a:latin typeface="Arial" panose="020B0604020202020204" pitchFamily="34" charset="0"/>
                <a:ea typeface="Verdana" panose="020B0604030504040204" pitchFamily="34" charset="0"/>
                <a:cs typeface="Arial" panose="020B0604020202020204" pitchFamily="34" charset="0"/>
              </a:rPr>
              <a:t>46 new </a:t>
            </a:r>
            <a:r>
              <a:rPr lang="en-US" sz="1098"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against</a:t>
            </a:r>
            <a:r>
              <a:rPr lang="en-US" sz="1098" b="0" baseline="0">
                <a:solidFill>
                  <a:srgbClr val="002060"/>
                </a:solidFill>
                <a:latin typeface="Arial" panose="020B0604020202020204" pitchFamily="34" charset="0"/>
                <a:ea typeface="Verdana" panose="020B0604030504040204" pitchFamily="34" charset="0"/>
                <a:cs typeface="Arial" panose="020B0604020202020204" pitchFamily="34" charset="0"/>
              </a:rPr>
              <a:t> </a:t>
            </a:r>
            <a:r>
              <a:rPr lang="en-US" sz="1098"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Portugal</a:t>
            </a:r>
            <a:endParaRPr lang="en-US"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5940807011512856"/>
          <c:y val="3.2786849513805512E-2"/>
        </c:manualLayout>
      </c:layout>
      <c:overlay val="0"/>
      <c:spPr>
        <a:noFill/>
        <a:ln w="25345">
          <a:noFill/>
        </a:ln>
      </c:spPr>
    </c:title>
    <c:autoTitleDeleted val="0"/>
    <c:plotArea>
      <c:layout/>
      <c:pieChart>
        <c:varyColors val="1"/>
        <c:ser>
          <c:idx val="0"/>
          <c:order val="0"/>
          <c:tx>
            <c:strRef>
              <c:f>Blad1!$B$1</c:f>
              <c:strCache>
                <c:ptCount val="1"/>
                <c:pt idx="0">
                  <c:v>[Number of infringement cases] infringement cases against Austria</c:v>
                </c:pt>
              </c:strCache>
            </c:strRef>
          </c:tx>
          <c:spPr>
            <a:scene3d>
              <a:camera prst="orthographicFront"/>
              <a:lightRig rig="threePt" dir="t"/>
            </a:scene3d>
            <a:sp3d>
              <a:bevelT w="63500" h="25400"/>
            </a:sp3d>
          </c:spPr>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8C19-4814-AEAE-F042AFF25C5B}"/>
              </c:ext>
            </c:extLst>
          </c:dPt>
          <c:dPt>
            <c:idx val="1"/>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8C19-4814-AEAE-F042AFF25C5B}"/>
              </c:ext>
            </c:extLst>
          </c:dPt>
          <c:dPt>
            <c:idx val="2"/>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8C19-4814-AEAE-F042AFF25C5B}"/>
              </c:ext>
            </c:extLst>
          </c:dPt>
          <c:dPt>
            <c:idx val="3"/>
            <c:bubble3D val="0"/>
            <c:explosion val="2"/>
            <c:spPr>
              <a:solidFill>
                <a:srgbClr val="FF7DF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8C19-4814-AEAE-F042AFF25C5B}"/>
              </c:ext>
            </c:extLst>
          </c:dPt>
          <c:dPt>
            <c:idx val="4"/>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8C19-4814-AEAE-F042AFF25C5B}"/>
              </c:ext>
            </c:extLst>
          </c:dPt>
          <c:dPt>
            <c:idx val="5"/>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8C19-4814-AEAE-F042AFF25C5B}"/>
              </c:ext>
            </c:extLst>
          </c:dPt>
          <c:dPt>
            <c:idx val="6"/>
            <c:bubble3D val="0"/>
            <c:extLst xmlns:c16r2="http://schemas.microsoft.com/office/drawing/2015/06/chart">
              <c:ext xmlns:c16="http://schemas.microsoft.com/office/drawing/2014/chart" uri="{C3380CC4-5D6E-409C-BE32-E72D297353CC}">
                <c16:uniqueId val="{0000000C-8C19-4814-AEAE-F042AFF25C5B}"/>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C19-4814-AEAE-F042AFF25C5B}"/>
                </c:ext>
              </c:extLst>
            </c:dLbl>
            <c:dLbl>
              <c:idx val="1"/>
              <c:layout>
                <c:manualLayout>
                  <c:x val="2.7639847847638014E-3"/>
                  <c:y val="0.10700486209715589"/>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8C19-4814-AEAE-F042AFF25C5B}"/>
                </c:ext>
              </c:extLst>
            </c:dLbl>
            <c:dLbl>
              <c:idx val="2"/>
              <c:layout>
                <c:manualLayout>
                  <c:x val="-2.3361548556430394E-2"/>
                  <c:y val="5.4803219514536136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8C19-4814-AEAE-F042AFF25C5B}"/>
                </c:ext>
              </c:extLst>
            </c:dLbl>
            <c:dLbl>
              <c:idx val="3"/>
              <c:layout>
                <c:manualLayout>
                  <c:x val="-4.9512680589855765E-2"/>
                  <c:y val="1.4537482788034514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8C19-4814-AEAE-F042AFF25C5B}"/>
                </c:ext>
              </c:extLst>
            </c:dLbl>
            <c:dLbl>
              <c:idx val="4"/>
              <c:layout>
                <c:manualLayout>
                  <c:x val="-5.546311702717693E-3"/>
                  <c:y val="0.11535433070866141"/>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8C19-4814-AEAE-F042AFF25C5B}"/>
                </c:ext>
              </c:extLst>
            </c:dLbl>
            <c:dLbl>
              <c:idx val="5"/>
              <c:layout>
                <c:manualLayout>
                  <c:x val="3.6323709536307959E-2"/>
                  <c:y val="-6.585359686315114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8C19-4814-AEAE-F042AFF25C5B}"/>
                </c:ext>
              </c:extLst>
            </c:dLbl>
            <c:spPr>
              <a:noFill/>
              <a:ln w="25345">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Blad1!$A$2:$A$8</c:f>
              <c:strCache>
                <c:ptCount val="6"/>
                <c:pt idx="0">
                  <c:v>Policy Area</c:v>
                </c:pt>
                <c:pt idx="1">
                  <c:v>Environment</c:v>
                </c:pt>
                <c:pt idx="2">
                  <c:v>Mobility and transport</c:v>
                </c:pt>
                <c:pt idx="3">
                  <c:v>Health and food safety</c:v>
                </c:pt>
                <c:pt idx="4">
                  <c:v>Financial stability, financial services and Capital Markets Union</c:v>
                </c:pt>
                <c:pt idx="5">
                  <c:v>Other</c:v>
                </c:pt>
              </c:strCache>
            </c:strRef>
          </c:cat>
          <c:val>
            <c:numRef>
              <c:f>Blad1!$B$2:$B$8</c:f>
              <c:numCache>
                <c:formatCode>General</c:formatCode>
                <c:ptCount val="7"/>
                <c:pt idx="0">
                  <c:v>0</c:v>
                </c:pt>
                <c:pt idx="1">
                  <c:v>11</c:v>
                </c:pt>
                <c:pt idx="2">
                  <c:v>10</c:v>
                </c:pt>
                <c:pt idx="3">
                  <c:v>5</c:v>
                </c:pt>
                <c:pt idx="4">
                  <c:v>4</c:v>
                </c:pt>
                <c:pt idx="5">
                  <c:v>16</c:v>
                </c:pt>
              </c:numCache>
            </c:numRef>
          </c:val>
          <c:extLst xmlns:c16r2="http://schemas.microsoft.com/office/drawing/2015/06/chart">
            <c:ext xmlns:c16="http://schemas.microsoft.com/office/drawing/2014/chart" uri="{C3380CC4-5D6E-409C-BE32-E72D297353CC}">
              <c16:uniqueId val="{0000000D-8C19-4814-AEAE-F042AFF25C5B}"/>
            </c:ext>
          </c:extLst>
        </c:ser>
        <c:dLbls>
          <c:showLegendKey val="0"/>
          <c:showVal val="0"/>
          <c:showCatName val="0"/>
          <c:showSerName val="0"/>
          <c:showPercent val="0"/>
          <c:showBubbleSize val="0"/>
          <c:showLeaderLines val="0"/>
        </c:dLbls>
        <c:firstSliceAng val="223"/>
      </c:pieChart>
      <c:spPr>
        <a:noFill/>
        <a:ln w="25345">
          <a:noFill/>
        </a:ln>
      </c:spPr>
    </c:plotArea>
    <c:plotVisOnly val="1"/>
    <c:dispBlanksAs val="gap"/>
    <c:showDLblsOverMax val="0"/>
  </c:chart>
  <c:spPr>
    <a:solidFill>
      <a:schemeClr val="bg1"/>
    </a:solidFill>
    <a:ln w="950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0"/>
              <c:layout>
                <c:manualLayout>
                  <c:x val="-3.377556661138751E-2"/>
                  <c:y val="7.024922118380053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A92F-4A62-878A-64166487C38C}"/>
                </c:ext>
              </c:extLst>
            </c:dLbl>
            <c:dLbl>
              <c:idx val="1"/>
              <c:layout>
                <c:manualLayout>
                  <c:x val="-4.220743205768164E-2"/>
                  <c:y val="7.615303983228512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4940-4519-94E9-855E17DC272E}"/>
                </c:ext>
              </c:extLst>
            </c:dLbl>
            <c:dLbl>
              <c:idx val="2"/>
              <c:layout>
                <c:manualLayout>
                  <c:x val="-4.220743205768164E-2"/>
                  <c:y val="6.567085953878407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4940-4519-94E9-855E17DC272E}"/>
                </c:ext>
              </c:extLst>
            </c:dLbl>
            <c:dLbl>
              <c:idx val="3"/>
              <c:layout>
                <c:manualLayout>
                  <c:x val="-3.6651823994637484E-2"/>
                  <c:y val="-5.9086597820132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4940-4519-94E9-855E17DC272E}"/>
                </c:ext>
              </c:extLst>
            </c:dLbl>
            <c:dLbl>
              <c:idx val="4"/>
              <c:layout>
                <c:manualLayout>
                  <c:x val="-3.6544223074630178E-2"/>
                  <c:y val="6.006825239456930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A92F-4A62-878A-64166487C38C}"/>
                </c:ext>
              </c:extLst>
            </c:dLbl>
            <c:spPr>
              <a:noFill/>
              <a:ln w="25396">
                <a:noFill/>
              </a:ln>
            </c:spPr>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Blad1!$A$2:$A$6</c:f>
              <c:numCache>
                <c:formatCode>General</c:formatCode>
                <c:ptCount val="5"/>
                <c:pt idx="0">
                  <c:v>2013</c:v>
                </c:pt>
                <c:pt idx="1">
                  <c:v>2014</c:v>
                </c:pt>
                <c:pt idx="2">
                  <c:v>2015</c:v>
                </c:pt>
                <c:pt idx="3">
                  <c:v>2016</c:v>
                </c:pt>
                <c:pt idx="4">
                  <c:v>2017</c:v>
                </c:pt>
              </c:numCache>
            </c:numRef>
          </c:cat>
          <c:val>
            <c:numRef>
              <c:f>Blad1!$B$2:$B$6</c:f>
              <c:numCache>
                <c:formatCode>General</c:formatCode>
                <c:ptCount val="5"/>
                <c:pt idx="0">
                  <c:v>12</c:v>
                </c:pt>
                <c:pt idx="1">
                  <c:v>15</c:v>
                </c:pt>
                <c:pt idx="2">
                  <c:v>15</c:v>
                </c:pt>
                <c:pt idx="3">
                  <c:v>44</c:v>
                </c:pt>
                <c:pt idx="4">
                  <c:v>41</c:v>
                </c:pt>
              </c:numCache>
            </c:numRef>
          </c:val>
          <c:smooth val="0"/>
          <c:extLst xmlns:c16r2="http://schemas.microsoft.com/office/drawing/2015/06/chart">
            <c:ext xmlns:c16="http://schemas.microsoft.com/office/drawing/2014/chart" uri="{C3380CC4-5D6E-409C-BE32-E72D297353CC}">
              <c16:uniqueId val="{00000003-4940-4519-94E9-855E17DC272E}"/>
            </c:ext>
          </c:extLst>
        </c:ser>
        <c:dLbls>
          <c:showLegendKey val="0"/>
          <c:showVal val="0"/>
          <c:showCatName val="0"/>
          <c:showSerName val="0"/>
          <c:showPercent val="0"/>
          <c:showBubbleSize val="0"/>
        </c:dLbls>
        <c:marker val="1"/>
        <c:smooth val="0"/>
        <c:axId val="326071424"/>
        <c:axId val="326072960"/>
      </c:lineChart>
      <c:catAx>
        <c:axId val="326071424"/>
        <c:scaling>
          <c:orientation val="minMax"/>
        </c:scaling>
        <c:delete val="0"/>
        <c:axPos val="b"/>
        <c:numFmt formatCode="General" sourceLinked="1"/>
        <c:majorTickMark val="none"/>
        <c:minorTickMark val="none"/>
        <c:tickLblPos val="nextTo"/>
        <c:spPr>
          <a:noFill/>
          <a:ln w="12698"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26072960"/>
        <c:crosses val="autoZero"/>
        <c:auto val="1"/>
        <c:lblAlgn val="ctr"/>
        <c:lblOffset val="100"/>
        <c:noMultiLvlLbl val="0"/>
      </c:catAx>
      <c:valAx>
        <c:axId val="326072960"/>
        <c:scaling>
          <c:orientation val="minMax"/>
        </c:scaling>
        <c:delete val="1"/>
        <c:axPos val="l"/>
        <c:majorGridlines>
          <c:spPr>
            <a:ln w="9524" cap="flat" cmpd="sng" algn="ctr">
              <a:solidFill>
                <a:schemeClr val="tx1">
                  <a:lumMod val="15000"/>
                  <a:lumOff val="85000"/>
                </a:schemeClr>
              </a:solidFill>
              <a:round/>
            </a:ln>
            <a:effectLst/>
          </c:spPr>
        </c:majorGridlines>
        <c:numFmt formatCode="General" sourceLinked="1"/>
        <c:majorTickMark val="out"/>
        <c:minorTickMark val="none"/>
        <c:tickLblPos val="nextTo"/>
        <c:crossAx val="326071424"/>
        <c:crosses val="autoZero"/>
        <c:crossBetween val="between"/>
      </c:valAx>
      <c:spPr>
        <a:noFill/>
        <a:ln w="25396">
          <a:noFill/>
        </a:ln>
      </c:spPr>
    </c:plotArea>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4.772361025587276E-2"/>
                  <c:y val="5.826276432427078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4623-43E4-AC06-F9DB53ECDC97}"/>
                </c:ext>
              </c:extLst>
            </c:dLbl>
            <c:dLbl>
              <c:idx val="3"/>
              <c:layout>
                <c:manualLayout>
                  <c:x val="-4.2067440574903261E-2"/>
                  <c:y val="-7.046875000000001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93D7-4D2D-BF19-B0F3FD010CCA}"/>
                </c:ext>
              </c:extLst>
            </c:dLbl>
            <c:dLbl>
              <c:idx val="4"/>
              <c:layout>
                <c:manualLayout>
                  <c:x val="-3.9404455487551483E-2"/>
                  <c:y val="6.964325218973019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4623-43E4-AC06-F9DB53ECDC97}"/>
                </c:ext>
              </c:extLst>
            </c:dLbl>
            <c:spPr>
              <a:noFill/>
              <a:ln w="25396">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Blad1!$A$2:$A$6</c:f>
              <c:numCache>
                <c:formatCode>General</c:formatCode>
                <c:ptCount val="5"/>
                <c:pt idx="0">
                  <c:v>2013</c:v>
                </c:pt>
                <c:pt idx="1">
                  <c:v>2014</c:v>
                </c:pt>
                <c:pt idx="2">
                  <c:v>2015</c:v>
                </c:pt>
                <c:pt idx="3">
                  <c:v>2016</c:v>
                </c:pt>
                <c:pt idx="4">
                  <c:v>2017</c:v>
                </c:pt>
              </c:numCache>
            </c:numRef>
          </c:cat>
          <c:val>
            <c:numRef>
              <c:f>Blad1!$B$2:$B$6</c:f>
              <c:numCache>
                <c:formatCode>General</c:formatCode>
                <c:ptCount val="5"/>
                <c:pt idx="0">
                  <c:v>24</c:v>
                </c:pt>
                <c:pt idx="1">
                  <c:v>23</c:v>
                </c:pt>
                <c:pt idx="2">
                  <c:v>18</c:v>
                </c:pt>
                <c:pt idx="3">
                  <c:v>51</c:v>
                </c:pt>
                <c:pt idx="4">
                  <c:v>36</c:v>
                </c:pt>
              </c:numCache>
            </c:numRef>
          </c:val>
          <c:smooth val="0"/>
          <c:extLst xmlns:c16r2="http://schemas.microsoft.com/office/drawing/2015/06/chart">
            <c:ext xmlns:c16="http://schemas.microsoft.com/office/drawing/2014/chart" uri="{C3380CC4-5D6E-409C-BE32-E72D297353CC}">
              <c16:uniqueId val="{00000002-4623-43E4-AC06-F9DB53ECDC97}"/>
            </c:ext>
          </c:extLst>
        </c:ser>
        <c:dLbls>
          <c:showLegendKey val="0"/>
          <c:showVal val="0"/>
          <c:showCatName val="0"/>
          <c:showSerName val="0"/>
          <c:showPercent val="0"/>
          <c:showBubbleSize val="0"/>
        </c:dLbls>
        <c:marker val="1"/>
        <c:smooth val="0"/>
        <c:axId val="327160192"/>
        <c:axId val="327161728"/>
      </c:lineChart>
      <c:catAx>
        <c:axId val="327160192"/>
        <c:scaling>
          <c:orientation val="minMax"/>
        </c:scaling>
        <c:delete val="0"/>
        <c:axPos val="b"/>
        <c:numFmt formatCode="General" sourceLinked="1"/>
        <c:majorTickMark val="none"/>
        <c:minorTickMark val="none"/>
        <c:tickLblPos val="nextTo"/>
        <c:spPr>
          <a:noFill/>
          <a:ln w="12698"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27161728"/>
        <c:crosses val="autoZero"/>
        <c:auto val="1"/>
        <c:lblAlgn val="ctr"/>
        <c:lblOffset val="100"/>
        <c:noMultiLvlLbl val="0"/>
      </c:catAx>
      <c:valAx>
        <c:axId val="327161728"/>
        <c:scaling>
          <c:orientation val="minMax"/>
          <c:min val="15"/>
        </c:scaling>
        <c:delete val="1"/>
        <c:axPos val="l"/>
        <c:majorGridlines>
          <c:spPr>
            <a:ln w="9524" cap="flat" cmpd="sng" algn="ctr">
              <a:solidFill>
                <a:schemeClr val="tx1">
                  <a:lumMod val="15000"/>
                  <a:lumOff val="85000"/>
                </a:schemeClr>
              </a:solidFill>
              <a:round/>
            </a:ln>
            <a:effectLst/>
          </c:spPr>
        </c:majorGridlines>
        <c:numFmt formatCode="General" sourceLinked="1"/>
        <c:majorTickMark val="out"/>
        <c:minorTickMark val="none"/>
        <c:tickLblPos val="nextTo"/>
        <c:crossAx val="327160192"/>
        <c:crosses val="autoZero"/>
        <c:crossBetween val="between"/>
      </c:valAx>
      <c:spPr>
        <a:noFill/>
        <a:ln w="25396">
          <a:noFill/>
        </a:ln>
      </c:spPr>
    </c:plotArea>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7"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nl-BE" sz="1097" b="0" baseline="0">
                <a:solidFill>
                  <a:srgbClr val="002060"/>
                </a:solidFill>
                <a:latin typeface="Arial" panose="020B0604020202020204" pitchFamily="34" charset="0"/>
                <a:ea typeface="Verdana" panose="020B0604030504040204" pitchFamily="34" charset="0"/>
                <a:cs typeface="Arial" panose="020B0604020202020204" pitchFamily="34" charset="0"/>
              </a:rPr>
              <a:t>36 new </a:t>
            </a:r>
            <a:r>
              <a:rPr lang="nl-BE" sz="1097" b="0">
                <a:solidFill>
                  <a:srgbClr val="002060"/>
                </a:solidFill>
                <a:latin typeface="Arial" panose="020B0604020202020204" pitchFamily="34" charset="0"/>
                <a:ea typeface="Verdana" panose="020B0604030504040204" pitchFamily="34" charset="0"/>
                <a:cs typeface="Arial" panose="020B0604020202020204" pitchFamily="34" charset="0"/>
              </a:rPr>
              <a:t>late transposition infringement cases against </a:t>
            </a:r>
            <a:r>
              <a:rPr lang="en-GB" sz="1097"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Portugal</a:t>
            </a:r>
            <a:endParaRPr lang="nl-BE"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w="25321">
          <a:noFill/>
        </a:ln>
      </c:spPr>
    </c:title>
    <c:autoTitleDeleted val="0"/>
    <c:plotArea>
      <c:layout>
        <c:manualLayout>
          <c:layoutTarget val="inner"/>
          <c:xMode val="edge"/>
          <c:yMode val="edge"/>
          <c:x val="0.31614720034995625"/>
          <c:y val="0.26226409198850142"/>
          <c:w val="0.3723354111986002"/>
          <c:h val="0.6382892763404574"/>
        </c:manualLayout>
      </c:layout>
      <c:pieChart>
        <c:varyColors val="1"/>
        <c:ser>
          <c:idx val="0"/>
          <c:order val="0"/>
          <c:tx>
            <c:strRef>
              <c:f>Blad1!$B$1</c:f>
              <c:strCache>
                <c:ptCount val="1"/>
                <c:pt idx="0">
                  <c:v>[Number of late transposition cases] late transposition cases against [Member State]</c:v>
                </c:pt>
              </c:strCache>
            </c:strRef>
          </c:tx>
          <c:spPr>
            <a:scene3d>
              <a:camera prst="orthographicFront"/>
              <a:lightRig rig="threePt" dir="t"/>
            </a:scene3d>
            <a:sp3d>
              <a:bevelT w="63500" h="25400"/>
            </a:sp3d>
          </c:spPr>
          <c:dPt>
            <c:idx val="0"/>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9847-4761-B12E-83DB6C517095}"/>
              </c:ext>
            </c:extLst>
          </c:dPt>
          <c:dPt>
            <c:idx val="1"/>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9847-4761-B12E-83DB6C517095}"/>
              </c:ext>
            </c:extLst>
          </c:dPt>
          <c:dPt>
            <c:idx val="2"/>
            <c:bubble3D val="0"/>
            <c:spPr>
              <a:solidFill>
                <a:srgbClr val="FF7DF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9847-4761-B12E-83DB6C517095}"/>
              </c:ext>
            </c:extLst>
          </c:dPt>
          <c:dPt>
            <c:idx val="3"/>
            <c:bubble3D val="0"/>
            <c:spPr>
              <a:solidFill>
                <a:srgbClr val="7030A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9847-4761-B12E-83DB6C517095}"/>
              </c:ext>
            </c:extLst>
          </c:dPt>
          <c:dPt>
            <c:idx val="4"/>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9847-4761-B12E-83DB6C517095}"/>
              </c:ext>
            </c:extLst>
          </c:dPt>
          <c:dLbls>
            <c:dLbl>
              <c:idx val="0"/>
              <c:layout>
                <c:manualLayout>
                  <c:x val="-2.2148906461227535E-2"/>
                  <c:y val="8.117239987705730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9847-4761-B12E-83DB6C517095}"/>
                </c:ext>
              </c:extLst>
            </c:dLbl>
            <c:dLbl>
              <c:idx val="1"/>
              <c:layout>
                <c:manualLayout>
                  <c:x val="-5.8135048736138679E-2"/>
                  <c:y val="0.10524413574439499"/>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9847-4761-B12E-83DB6C517095}"/>
                </c:ext>
              </c:extLst>
            </c:dLbl>
            <c:dLbl>
              <c:idx val="2"/>
              <c:layout>
                <c:manualLayout>
                  <c:x val="-3.878206492379721E-2"/>
                  <c:y val="2.9464833844921927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9847-4761-B12E-83DB6C517095}"/>
                </c:ext>
              </c:extLst>
            </c:dLbl>
            <c:dLbl>
              <c:idx val="3"/>
              <c:layout>
                <c:manualLayout>
                  <c:x val="2.8756040875453442E-3"/>
                  <c:y val="6.7347718668349307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9847-4761-B12E-83DB6C517095}"/>
                </c:ext>
              </c:extLst>
            </c:dLbl>
            <c:dLbl>
              <c:idx val="4"/>
              <c:layout>
                <c:manualLayout>
                  <c:x val="3.334850295480217E-2"/>
                  <c:y val="-4.5869478179634323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9847-4761-B12E-83DB6C517095}"/>
                </c:ext>
              </c:extLst>
            </c:dLbl>
            <c:spPr>
              <a:noFill/>
              <a:ln w="25321">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Blad1!$A$4:$A$8</c:f>
              <c:strCache>
                <c:ptCount val="5"/>
                <c:pt idx="0">
                  <c:v>Environment</c:v>
                </c:pt>
                <c:pt idx="1">
                  <c:v>Mobility and transport</c:v>
                </c:pt>
                <c:pt idx="2">
                  <c:v>Health and food safety</c:v>
                </c:pt>
                <c:pt idx="3">
                  <c:v>Financial stability, financial services and Capital Markets Union</c:v>
                </c:pt>
                <c:pt idx="4">
                  <c:v>Other</c:v>
                </c:pt>
              </c:strCache>
            </c:strRef>
          </c:cat>
          <c:val>
            <c:numRef>
              <c:f>Blad1!$B$4:$B$8</c:f>
              <c:numCache>
                <c:formatCode>General</c:formatCode>
                <c:ptCount val="5"/>
                <c:pt idx="0">
                  <c:v>9</c:v>
                </c:pt>
                <c:pt idx="1">
                  <c:v>8</c:v>
                </c:pt>
                <c:pt idx="2">
                  <c:v>5</c:v>
                </c:pt>
                <c:pt idx="3">
                  <c:v>4</c:v>
                </c:pt>
                <c:pt idx="4">
                  <c:v>10</c:v>
                </c:pt>
              </c:numCache>
            </c:numRef>
          </c:val>
          <c:extLst xmlns:c16r2="http://schemas.microsoft.com/office/drawing/2015/06/chart">
            <c:ext xmlns:c16="http://schemas.microsoft.com/office/drawing/2014/chart" uri="{C3380CC4-5D6E-409C-BE32-E72D297353CC}">
              <c16:uniqueId val="{0000000A-9847-4761-B12E-83DB6C517095}"/>
            </c:ext>
          </c:extLst>
        </c:ser>
        <c:dLbls>
          <c:showLegendKey val="0"/>
          <c:showVal val="0"/>
          <c:showCatName val="0"/>
          <c:showSerName val="0"/>
          <c:showPercent val="0"/>
          <c:showBubbleSize val="0"/>
          <c:showLeaderLines val="0"/>
        </c:dLbls>
        <c:firstSliceAng val="212"/>
      </c:pieChart>
      <c:spPr>
        <a:noFill/>
        <a:ln w="25321">
          <a:noFill/>
        </a:ln>
      </c:spPr>
    </c:plotArea>
    <c:plotVisOnly val="1"/>
    <c:dispBlanksAs val="gap"/>
    <c:showDLblsOverMax val="0"/>
  </c:chart>
  <c:spPr>
    <a:solidFill>
      <a:schemeClr val="bg1"/>
    </a:solidFill>
    <a:ln w="949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280946076430702E-2"/>
          <c:y val="5.5813953488372092E-2"/>
          <c:w val="0.89092585489306109"/>
          <c:h val="0.83976585414414306"/>
        </c:manualLayout>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spPr>
              <a:noFill/>
              <a:ln w="25368">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General</c:formatCode>
                <c:ptCount val="5"/>
                <c:pt idx="0">
                  <c:v>154</c:v>
                </c:pt>
                <c:pt idx="1">
                  <c:v>149</c:v>
                </c:pt>
                <c:pt idx="2">
                  <c:v>113</c:v>
                </c:pt>
                <c:pt idx="3">
                  <c:v>133</c:v>
                </c:pt>
                <c:pt idx="4">
                  <c:v>162</c:v>
                </c:pt>
              </c:numCache>
            </c:numRef>
          </c:val>
          <c:smooth val="0"/>
          <c:extLst xmlns:c16r2="http://schemas.microsoft.com/office/drawing/2015/06/chart">
            <c:ext xmlns:c16="http://schemas.microsoft.com/office/drawing/2014/chart" uri="{C3380CC4-5D6E-409C-BE32-E72D297353CC}">
              <c16:uniqueId val="{00000002-1AB2-49C2-B839-0849D8BDFA23}"/>
            </c:ext>
          </c:extLst>
        </c:ser>
        <c:dLbls>
          <c:showLegendKey val="0"/>
          <c:showVal val="0"/>
          <c:showCatName val="0"/>
          <c:showSerName val="0"/>
          <c:showPercent val="0"/>
          <c:showBubbleSize val="0"/>
        </c:dLbls>
        <c:marker val="1"/>
        <c:smooth val="0"/>
        <c:axId val="327313280"/>
        <c:axId val="327314816"/>
      </c:lineChart>
      <c:catAx>
        <c:axId val="327313280"/>
        <c:scaling>
          <c:orientation val="minMax"/>
        </c:scaling>
        <c:delete val="0"/>
        <c:axPos val="b"/>
        <c:numFmt formatCode="General" sourceLinked="1"/>
        <c:majorTickMark val="none"/>
        <c:minorTickMark val="none"/>
        <c:tickLblPos val="nextTo"/>
        <c:spPr>
          <a:noFill/>
          <a:ln w="12684"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27314816"/>
        <c:crosses val="autoZero"/>
        <c:auto val="1"/>
        <c:lblAlgn val="ctr"/>
        <c:lblOffset val="100"/>
        <c:noMultiLvlLbl val="0"/>
      </c:catAx>
      <c:valAx>
        <c:axId val="327314816"/>
        <c:scaling>
          <c:orientation val="minMax"/>
          <c:min val="70"/>
        </c:scaling>
        <c:delete val="1"/>
        <c:axPos val="l"/>
        <c:majorGridlines>
          <c:spPr>
            <a:ln w="9513" cap="flat" cmpd="sng" algn="ctr">
              <a:solidFill>
                <a:schemeClr val="tx1">
                  <a:lumMod val="15000"/>
                  <a:lumOff val="85000"/>
                </a:schemeClr>
              </a:solidFill>
              <a:round/>
            </a:ln>
            <a:effectLst/>
          </c:spPr>
        </c:majorGridlines>
        <c:numFmt formatCode="General" sourceLinked="1"/>
        <c:majorTickMark val="out"/>
        <c:minorTickMark val="none"/>
        <c:tickLblPos val="nextTo"/>
        <c:crossAx val="327313280"/>
        <c:crosses val="autoZero"/>
        <c:crossBetween val="between"/>
      </c:valAx>
      <c:spPr>
        <a:noFill/>
        <a:ln w="25368">
          <a:noFill/>
        </a:ln>
      </c:spPr>
    </c:plotArea>
    <c:plotVisOnly val="1"/>
    <c:dispBlanksAs val="gap"/>
    <c:showDLblsOverMax val="0"/>
  </c:chart>
  <c:spPr>
    <a:solidFill>
      <a:schemeClr val="bg1"/>
    </a:solidFill>
    <a:ln w="9513"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9" b="0" i="0" u="none" strike="noStrike" kern="1200" baseline="0">
                <a:solidFill>
                  <a:srgbClr val="002060"/>
                </a:solidFill>
                <a:latin typeface="+mn-lt"/>
                <a:ea typeface="+mn-ea"/>
                <a:cs typeface="+mn-cs"/>
              </a:defRPr>
            </a:pPr>
            <a:r>
              <a:rPr lang="en-US" sz="1099" b="0" i="0">
                <a:solidFill>
                  <a:srgbClr val="002060"/>
                </a:solidFill>
                <a:latin typeface="Arial" panose="020B0604020202020204" pitchFamily="34" charset="0"/>
                <a:ea typeface="Verdana" panose="020B0604030504040204" pitchFamily="34" charset="0"/>
                <a:cs typeface="Arial" panose="020B0604020202020204" pitchFamily="34" charset="0"/>
              </a:rPr>
              <a:t>162 complaints made against </a:t>
            </a:r>
            <a:r>
              <a:rPr lang="en-US" sz="10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Romania</a:t>
            </a:r>
            <a:endParaRPr lang="en-US" sz="1100" b="0" i="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w="25387">
          <a:noFill/>
        </a:ln>
      </c:spPr>
    </c:title>
    <c:autoTitleDeleted val="0"/>
    <c:plotArea>
      <c:layout/>
      <c:pieChart>
        <c:varyColors val="1"/>
        <c:ser>
          <c:idx val="0"/>
          <c:order val="0"/>
          <c:tx>
            <c:strRef>
              <c:f>Blad1!$B$1</c:f>
              <c:strCache>
                <c:ptCount val="1"/>
                <c:pt idx="0">
                  <c:v>[Number of new complaints] complaints made against [Member State]</c:v>
                </c:pt>
              </c:strCache>
            </c:strRef>
          </c:tx>
          <c:spPr>
            <a:scene3d>
              <a:camera prst="orthographicFront"/>
              <a:lightRig rig="threePt" dir="t"/>
            </a:scene3d>
            <a:sp3d>
              <a:bevelT w="63500" h="25400"/>
            </a:sp3d>
          </c:spPr>
          <c:dPt>
            <c:idx val="0"/>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5E58-401D-B166-1F5BC99F0D78}"/>
              </c:ext>
            </c:extLst>
          </c:dPt>
          <c:dPt>
            <c:idx val="1"/>
            <c:bubble3D val="0"/>
            <c:spPr>
              <a:solidFill>
                <a:srgbClr val="0B5A8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5E58-401D-B166-1F5BC99F0D78}"/>
              </c:ext>
            </c:extLst>
          </c:dPt>
          <c:dPt>
            <c:idx val="2"/>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5E58-401D-B166-1F5BC99F0D78}"/>
              </c:ext>
            </c:extLst>
          </c:dPt>
          <c:dPt>
            <c:idx val="3"/>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5E58-401D-B166-1F5BC99F0D78}"/>
              </c:ext>
            </c:extLst>
          </c:dPt>
          <c:dPt>
            <c:idx val="4"/>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5E58-401D-B166-1F5BC99F0D78}"/>
              </c:ext>
            </c:extLst>
          </c:dPt>
          <c:dLbls>
            <c:dLbl>
              <c:idx val="0"/>
              <c:layout>
                <c:manualLayout>
                  <c:x val="8.5306377477115197E-2"/>
                  <c:y val="0.13207047889505616"/>
                </c:manualLayout>
              </c:layout>
              <c:spPr>
                <a:noFill/>
                <a:ln w="25387">
                  <a:noFill/>
                </a:ln>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5E58-401D-B166-1F5BC99F0D78}"/>
                </c:ext>
              </c:extLst>
            </c:dLbl>
            <c:dLbl>
              <c:idx val="1"/>
              <c:layout>
                <c:manualLayout>
                  <c:x val="-1.09931378017616E-2"/>
                  <c:y val="-1.2598855470935035E-2"/>
                </c:manualLayout>
              </c:layout>
              <c:spPr>
                <a:noFill/>
                <a:ln w="25387">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5E58-401D-B166-1F5BC99F0D78}"/>
                </c:ext>
              </c:extLst>
            </c:dLbl>
            <c:dLbl>
              <c:idx val="2"/>
              <c:layout>
                <c:manualLayout>
                  <c:x val="2.214583144158051E-2"/>
                  <c:y val="-4.3715846994535519E-2"/>
                </c:manualLayout>
              </c:layout>
              <c:spPr>
                <a:noFill/>
                <a:ln w="25387">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5E58-401D-B166-1F5BC99F0D78}"/>
                </c:ext>
              </c:extLst>
            </c:dLbl>
            <c:dLbl>
              <c:idx val="3"/>
              <c:layout>
                <c:manualLayout>
                  <c:x val="-4.4065541190067288E-2"/>
                  <c:y val="-0.3299677294436556"/>
                </c:manualLayout>
              </c:layout>
              <c:spPr>
                <a:noFill/>
                <a:ln w="25387">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5E58-401D-B166-1F5BC99F0D78}"/>
                </c:ext>
              </c:extLst>
            </c:dLbl>
            <c:spPr>
              <a:noFill/>
              <a:ln w="25387">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Blad1!$A$3:$A$6</c:f>
              <c:strCache>
                <c:ptCount val="4"/>
                <c:pt idx="0">
                  <c:v>Justice and consumers</c:v>
                </c:pt>
                <c:pt idx="1">
                  <c:v>Regional and urban policy</c:v>
                </c:pt>
                <c:pt idx="2">
                  <c:v>Taxation and customs</c:v>
                </c:pt>
                <c:pt idx="3">
                  <c:v>Other</c:v>
                </c:pt>
              </c:strCache>
            </c:strRef>
          </c:cat>
          <c:val>
            <c:numRef>
              <c:f>Blad1!$B$3:$B$6</c:f>
              <c:numCache>
                <c:formatCode>General</c:formatCode>
                <c:ptCount val="4"/>
                <c:pt idx="0">
                  <c:v>44</c:v>
                </c:pt>
                <c:pt idx="1">
                  <c:v>24</c:v>
                </c:pt>
                <c:pt idx="2">
                  <c:v>19</c:v>
                </c:pt>
                <c:pt idx="3">
                  <c:v>75</c:v>
                </c:pt>
              </c:numCache>
            </c:numRef>
          </c:val>
          <c:extLst xmlns:c16r2="http://schemas.microsoft.com/office/drawing/2015/06/chart">
            <c:ext xmlns:c16="http://schemas.microsoft.com/office/drawing/2014/chart" uri="{C3380CC4-5D6E-409C-BE32-E72D297353CC}">
              <c16:uniqueId val="{0000000A-5E58-401D-B166-1F5BC99F0D78}"/>
            </c:ext>
          </c:extLst>
        </c:ser>
        <c:dLbls>
          <c:showLegendKey val="0"/>
          <c:showVal val="0"/>
          <c:showCatName val="0"/>
          <c:showSerName val="0"/>
          <c:showPercent val="0"/>
          <c:showBubbleSize val="0"/>
          <c:showLeaderLines val="0"/>
        </c:dLbls>
        <c:firstSliceAng val="322"/>
      </c:pieChart>
      <c:spPr>
        <a:noFill/>
        <a:ln w="25387">
          <a:noFill/>
        </a:ln>
      </c:spPr>
    </c:plotArea>
    <c:plotVisOnly val="1"/>
    <c:dispBlanksAs val="gap"/>
    <c:showDLblsOverMax val="0"/>
  </c:chart>
  <c:spPr>
    <a:solidFill>
      <a:schemeClr val="bg1"/>
    </a:solidFill>
    <a:ln w="952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8"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US" sz="1098" b="0" baseline="0">
                <a:solidFill>
                  <a:srgbClr val="002060"/>
                </a:solidFill>
                <a:latin typeface="Arial" panose="020B0604020202020204" pitchFamily="34" charset="0"/>
                <a:ea typeface="Verdana" panose="020B0604030504040204" pitchFamily="34" charset="0"/>
                <a:cs typeface="Arial" panose="020B0604020202020204" pitchFamily="34" charset="0"/>
              </a:rPr>
              <a:t>24 new </a:t>
            </a:r>
            <a:r>
              <a:rPr lang="en-US" sz="1098"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against</a:t>
            </a:r>
            <a:r>
              <a:rPr lang="en-US" sz="1098" b="0" baseline="0">
                <a:solidFill>
                  <a:srgbClr val="002060"/>
                </a:solidFill>
                <a:latin typeface="Arial" panose="020B0604020202020204" pitchFamily="34" charset="0"/>
                <a:ea typeface="Verdana" panose="020B0604030504040204" pitchFamily="34" charset="0"/>
                <a:cs typeface="Arial" panose="020B0604020202020204" pitchFamily="34" charset="0"/>
              </a:rPr>
              <a:t> </a:t>
            </a:r>
            <a:r>
              <a:rPr lang="en-US" sz="1098"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Luxembourg</a:t>
            </a:r>
            <a:endParaRPr lang="en-US"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6218115768277933"/>
          <c:y val="3.2786849513805512E-2"/>
        </c:manualLayout>
      </c:layout>
      <c:overlay val="0"/>
      <c:spPr>
        <a:noFill/>
        <a:ln w="25345">
          <a:noFill/>
        </a:ln>
      </c:spPr>
    </c:title>
    <c:autoTitleDeleted val="0"/>
    <c:plotArea>
      <c:layout/>
      <c:pieChart>
        <c:varyColors val="1"/>
        <c:ser>
          <c:idx val="0"/>
          <c:order val="0"/>
          <c:tx>
            <c:strRef>
              <c:f>Blad1!$B$1</c:f>
              <c:strCache>
                <c:ptCount val="1"/>
                <c:pt idx="0">
                  <c:v>[Number of infringement cases] infringement cases against Austria</c:v>
                </c:pt>
              </c:strCache>
            </c:strRef>
          </c:tx>
          <c:spPr>
            <a:scene3d>
              <a:camera prst="orthographicFront"/>
              <a:lightRig rig="threePt" dir="t"/>
            </a:scene3d>
            <a:sp3d>
              <a:bevelT w="63500" h="25400"/>
            </a:sp3d>
          </c:spPr>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B93F-4DFE-A848-F2134F2A0D70}"/>
              </c:ext>
            </c:extLst>
          </c:dPt>
          <c:dPt>
            <c:idx val="1"/>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B93F-4DFE-A848-F2134F2A0D70}"/>
              </c:ext>
            </c:extLst>
          </c:dPt>
          <c:dPt>
            <c:idx val="2"/>
            <c:bubble3D val="0"/>
            <c:spPr>
              <a:solidFill>
                <a:srgbClr val="FF7DF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B93F-4DFE-A848-F2134F2A0D70}"/>
              </c:ext>
            </c:extLst>
          </c:dPt>
          <c:dPt>
            <c:idx val="3"/>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B93F-4DFE-A848-F2134F2A0D70}"/>
              </c:ext>
            </c:extLst>
          </c:dPt>
          <c:dPt>
            <c:idx val="4"/>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B93F-4DFE-A848-F2134F2A0D70}"/>
              </c:ext>
            </c:extLst>
          </c:dPt>
          <c:dPt>
            <c:idx val="5"/>
            <c:bubble3D val="0"/>
            <c:spPr>
              <a:solidFill>
                <a:srgbClr val="808AA4">
                  <a:alpha val="98824"/>
                </a:srgbClr>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B93F-4DFE-A848-F2134F2A0D70}"/>
              </c:ext>
            </c:extLst>
          </c:dPt>
          <c:dPt>
            <c:idx val="6"/>
            <c:bubble3D val="0"/>
            <c:extLst xmlns:c16r2="http://schemas.microsoft.com/office/drawing/2015/06/chart">
              <c:ext xmlns:c16="http://schemas.microsoft.com/office/drawing/2014/chart" uri="{C3380CC4-5D6E-409C-BE32-E72D297353CC}">
                <c16:uniqueId val="{0000000C-B93F-4DFE-A848-F2134F2A0D70}"/>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93F-4DFE-A848-F2134F2A0D70}"/>
                </c:ext>
              </c:extLst>
            </c:dLbl>
            <c:dLbl>
              <c:idx val="1"/>
              <c:layout>
                <c:manualLayout>
                  <c:x val="2.8159865317503464E-2"/>
                  <c:y val="-2.5088923884514436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B93F-4DFE-A848-F2134F2A0D70}"/>
                </c:ext>
              </c:extLst>
            </c:dLbl>
            <c:dLbl>
              <c:idx val="2"/>
              <c:layout>
                <c:manualLayout>
                  <c:x val="-2.839930086690166E-2"/>
                  <c:y val="5.5251233595800524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B93F-4DFE-A848-F2134F2A0D70}"/>
                </c:ext>
              </c:extLst>
            </c:dLbl>
            <c:dLbl>
              <c:idx val="3"/>
              <c:layout>
                <c:manualLayout>
                  <c:x val="1.9210961658745885E-3"/>
                  <c:y val="4.9953175853018422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B93F-4DFE-A848-F2134F2A0D70}"/>
                </c:ext>
              </c:extLst>
            </c:dLbl>
            <c:dLbl>
              <c:idx val="4"/>
              <c:layout>
                <c:manualLayout>
                  <c:x val="4.4274532498582439E-3"/>
                  <c:y val="2.0264146981627297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B93F-4DFE-A848-F2134F2A0D70}"/>
                </c:ext>
              </c:extLst>
            </c:dLbl>
            <c:dLbl>
              <c:idx val="5"/>
              <c:layout>
                <c:manualLayout>
                  <c:x val="-6.676488723732818E-2"/>
                  <c:y val="-8.0166946344821646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B93F-4DFE-A848-F2134F2A0D70}"/>
                </c:ext>
              </c:extLst>
            </c:dLbl>
            <c:spPr>
              <a:noFill/>
              <a:ln w="25345">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Blad1!$A$2:$A$8</c:f>
              <c:strCache>
                <c:ptCount val="6"/>
                <c:pt idx="0">
                  <c:v>Policy Area</c:v>
                </c:pt>
                <c:pt idx="1">
                  <c:v>Environment</c:v>
                </c:pt>
                <c:pt idx="2">
                  <c:v>Health and food safety</c:v>
                </c:pt>
                <c:pt idx="3">
                  <c:v>Financial stability, financial services and Capital Markets Union</c:v>
                </c:pt>
                <c:pt idx="4">
                  <c:v>Justice and consumers</c:v>
                </c:pt>
                <c:pt idx="5">
                  <c:v>Other</c:v>
                </c:pt>
              </c:strCache>
            </c:strRef>
          </c:cat>
          <c:val>
            <c:numRef>
              <c:f>Blad1!$B$2:$B$8</c:f>
              <c:numCache>
                <c:formatCode>General</c:formatCode>
                <c:ptCount val="7"/>
                <c:pt idx="0">
                  <c:v>0</c:v>
                </c:pt>
                <c:pt idx="1">
                  <c:v>7</c:v>
                </c:pt>
                <c:pt idx="2">
                  <c:v>4</c:v>
                </c:pt>
                <c:pt idx="3">
                  <c:v>3</c:v>
                </c:pt>
                <c:pt idx="4">
                  <c:v>3</c:v>
                </c:pt>
                <c:pt idx="5">
                  <c:v>7</c:v>
                </c:pt>
              </c:numCache>
            </c:numRef>
          </c:val>
          <c:extLst xmlns:c16r2="http://schemas.microsoft.com/office/drawing/2015/06/chart">
            <c:ext xmlns:c16="http://schemas.microsoft.com/office/drawing/2014/chart" uri="{C3380CC4-5D6E-409C-BE32-E72D297353CC}">
              <c16:uniqueId val="{0000000D-B93F-4DFE-A848-F2134F2A0D70}"/>
            </c:ext>
          </c:extLst>
        </c:ser>
        <c:dLbls>
          <c:showLegendKey val="0"/>
          <c:showVal val="0"/>
          <c:showCatName val="0"/>
          <c:showSerName val="0"/>
          <c:showPercent val="0"/>
          <c:showBubbleSize val="0"/>
          <c:showLeaderLines val="0"/>
        </c:dLbls>
        <c:firstSliceAng val="258"/>
      </c:pieChart>
      <c:spPr>
        <a:noFill/>
        <a:ln w="25345">
          <a:noFill/>
        </a:ln>
      </c:spPr>
    </c:plotArea>
    <c:plotVisOnly val="1"/>
    <c:dispBlanksAs val="gap"/>
    <c:showDLblsOverMax val="0"/>
  </c:chart>
  <c:spPr>
    <a:solidFill>
      <a:schemeClr val="bg1"/>
    </a:solidFill>
    <a:ln w="950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4896265560165973E-2"/>
          <c:y val="6.2411347517730496E-2"/>
          <c:w val="0.93909191583610185"/>
          <c:h val="0.81303854875283443"/>
        </c:manualLayout>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2"/>
              <c:layout>
                <c:manualLayout>
                  <c:x val="-5.0184642617347251E-2"/>
                  <c:y val="8.061804774403194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D31D-4EE1-8298-5CEF8ABAC7F0}"/>
                </c:ext>
              </c:extLst>
            </c:dLbl>
            <c:dLbl>
              <c:idx val="3"/>
              <c:layout>
                <c:manualLayout>
                  <c:x val="-5.3207811232898215E-2"/>
                  <c:y val="5.903279947149463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D31D-4EE1-8298-5CEF8ABAC7F0}"/>
                </c:ext>
              </c:extLst>
            </c:dLbl>
            <c:spPr>
              <a:noFill/>
              <a:ln w="25407">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General</c:formatCode>
                <c:ptCount val="5"/>
                <c:pt idx="0">
                  <c:v>53</c:v>
                </c:pt>
                <c:pt idx="1">
                  <c:v>40</c:v>
                </c:pt>
                <c:pt idx="2">
                  <c:v>34</c:v>
                </c:pt>
                <c:pt idx="3">
                  <c:v>24</c:v>
                </c:pt>
                <c:pt idx="4">
                  <c:v>7</c:v>
                </c:pt>
              </c:numCache>
            </c:numRef>
          </c:val>
          <c:smooth val="0"/>
          <c:extLst xmlns:c16r2="http://schemas.microsoft.com/office/drawing/2015/06/chart">
            <c:ext xmlns:c16="http://schemas.microsoft.com/office/drawing/2014/chart" uri="{C3380CC4-5D6E-409C-BE32-E72D297353CC}">
              <c16:uniqueId val="{00000002-D31D-4EE1-8298-5CEF8ABAC7F0}"/>
            </c:ext>
          </c:extLst>
        </c:ser>
        <c:dLbls>
          <c:showLegendKey val="0"/>
          <c:showVal val="0"/>
          <c:showCatName val="0"/>
          <c:showSerName val="0"/>
          <c:showPercent val="0"/>
          <c:showBubbleSize val="0"/>
        </c:dLbls>
        <c:marker val="1"/>
        <c:smooth val="0"/>
        <c:axId val="327580288"/>
        <c:axId val="327582080"/>
      </c:lineChart>
      <c:catAx>
        <c:axId val="327580288"/>
        <c:scaling>
          <c:orientation val="minMax"/>
        </c:scaling>
        <c:delete val="0"/>
        <c:axPos val="b"/>
        <c:numFmt formatCode="General" sourceLinked="1"/>
        <c:majorTickMark val="none"/>
        <c:minorTickMark val="none"/>
        <c:tickLblPos val="nextTo"/>
        <c:spPr>
          <a:noFill/>
          <a:ln w="12703"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27582080"/>
        <c:crosses val="autoZero"/>
        <c:auto val="1"/>
        <c:lblAlgn val="ctr"/>
        <c:lblOffset val="100"/>
        <c:noMultiLvlLbl val="0"/>
      </c:catAx>
      <c:valAx>
        <c:axId val="327582080"/>
        <c:scaling>
          <c:orientation val="minMax"/>
        </c:scaling>
        <c:delete val="1"/>
        <c:axPos val="l"/>
        <c:majorGridlines>
          <c:spPr>
            <a:ln w="9528" cap="flat" cmpd="sng" algn="ctr">
              <a:solidFill>
                <a:schemeClr val="tx1">
                  <a:lumMod val="15000"/>
                  <a:lumOff val="85000"/>
                </a:schemeClr>
              </a:solidFill>
              <a:round/>
            </a:ln>
            <a:effectLst/>
          </c:spPr>
        </c:majorGridlines>
        <c:numFmt formatCode="General" sourceLinked="1"/>
        <c:majorTickMark val="out"/>
        <c:minorTickMark val="none"/>
        <c:tickLblPos val="nextTo"/>
        <c:crossAx val="327580288"/>
        <c:crosses val="autoZero"/>
        <c:crossBetween val="between"/>
      </c:valAx>
      <c:spPr>
        <a:noFill/>
        <a:ln w="25405">
          <a:noFill/>
        </a:ln>
      </c:spPr>
    </c:plotArea>
    <c:plotVisOnly val="1"/>
    <c:dispBlanksAs val="gap"/>
    <c:showDLblsOverMax val="0"/>
  </c:chart>
  <c:spPr>
    <a:solidFill>
      <a:schemeClr val="bg1"/>
    </a:solidFill>
    <a:ln w="9528"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4896265560165973E-2"/>
          <c:y val="6.2411347517730496E-2"/>
          <c:w val="0.93909191583610185"/>
          <c:h val="0.81303854875283443"/>
        </c:manualLayout>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2"/>
              <c:layout>
                <c:manualLayout>
                  <c:x val="-5.0184642617347251E-2"/>
                  <c:y val="8.061804774403194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4700-4377-BFC4-F8679FB09A38}"/>
                </c:ext>
              </c:extLst>
            </c:dLbl>
            <c:dLbl>
              <c:idx val="3"/>
              <c:layout>
                <c:manualLayout>
                  <c:x val="-5.3207811232898215E-2"/>
                  <c:y val="5.903279947149463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4700-4377-BFC4-F8679FB09A38}"/>
                </c:ext>
              </c:extLst>
            </c:dLbl>
            <c:spPr>
              <a:noFill/>
              <a:ln w="25407">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General</c:formatCode>
                <c:ptCount val="5"/>
                <c:pt idx="0">
                  <c:v>57</c:v>
                </c:pt>
                <c:pt idx="1">
                  <c:v>50</c:v>
                </c:pt>
                <c:pt idx="2">
                  <c:v>53</c:v>
                </c:pt>
                <c:pt idx="3">
                  <c:v>43</c:v>
                </c:pt>
                <c:pt idx="4">
                  <c:v>27</c:v>
                </c:pt>
              </c:numCache>
            </c:numRef>
          </c:val>
          <c:smooth val="0"/>
          <c:extLst xmlns:c16r2="http://schemas.microsoft.com/office/drawing/2015/06/chart">
            <c:ext xmlns:c16="http://schemas.microsoft.com/office/drawing/2014/chart" uri="{C3380CC4-5D6E-409C-BE32-E72D297353CC}">
              <c16:uniqueId val="{00000002-4700-4377-BFC4-F8679FB09A38}"/>
            </c:ext>
          </c:extLst>
        </c:ser>
        <c:dLbls>
          <c:showLegendKey val="0"/>
          <c:showVal val="0"/>
          <c:showCatName val="0"/>
          <c:showSerName val="0"/>
          <c:showPercent val="0"/>
          <c:showBubbleSize val="0"/>
        </c:dLbls>
        <c:marker val="1"/>
        <c:smooth val="0"/>
        <c:axId val="327673344"/>
        <c:axId val="327674880"/>
      </c:lineChart>
      <c:catAx>
        <c:axId val="327673344"/>
        <c:scaling>
          <c:orientation val="minMax"/>
        </c:scaling>
        <c:delete val="0"/>
        <c:axPos val="b"/>
        <c:numFmt formatCode="General" sourceLinked="1"/>
        <c:majorTickMark val="none"/>
        <c:minorTickMark val="none"/>
        <c:tickLblPos val="nextTo"/>
        <c:spPr>
          <a:noFill/>
          <a:ln w="12703"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27674880"/>
        <c:crosses val="autoZero"/>
        <c:auto val="1"/>
        <c:lblAlgn val="ctr"/>
        <c:lblOffset val="100"/>
        <c:noMultiLvlLbl val="0"/>
      </c:catAx>
      <c:valAx>
        <c:axId val="327674880"/>
        <c:scaling>
          <c:orientation val="minMax"/>
          <c:min val="20"/>
        </c:scaling>
        <c:delete val="1"/>
        <c:axPos val="l"/>
        <c:majorGridlines>
          <c:spPr>
            <a:ln w="9528" cap="flat" cmpd="sng" algn="ctr">
              <a:solidFill>
                <a:schemeClr val="tx1">
                  <a:lumMod val="15000"/>
                  <a:lumOff val="85000"/>
                </a:schemeClr>
              </a:solidFill>
              <a:round/>
            </a:ln>
            <a:effectLst/>
          </c:spPr>
        </c:majorGridlines>
        <c:numFmt formatCode="General" sourceLinked="1"/>
        <c:majorTickMark val="out"/>
        <c:minorTickMark val="none"/>
        <c:tickLblPos val="nextTo"/>
        <c:crossAx val="327673344"/>
        <c:crosses val="autoZero"/>
        <c:crossBetween val="between"/>
      </c:valAx>
      <c:spPr>
        <a:noFill/>
        <a:ln w="25405">
          <a:noFill/>
        </a:ln>
      </c:spPr>
    </c:plotArea>
    <c:plotVisOnly val="1"/>
    <c:dispBlanksAs val="gap"/>
    <c:showDLblsOverMax val="0"/>
  </c:chart>
  <c:spPr>
    <a:solidFill>
      <a:schemeClr val="bg1"/>
    </a:solidFill>
    <a:ln w="9528"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a:latin typeface="Arial" panose="020B0604020202020204" pitchFamily="34" charset="0"/>
                <a:cs typeface="Arial" panose="020B0604020202020204" pitchFamily="34" charset="0"/>
              </a:defRPr>
            </a:pPr>
            <a:r>
              <a:rPr lang="en-US" sz="1098" b="0" i="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7 EU Pilot files opened against Romania</a:t>
            </a:r>
            <a:endParaRPr lang="en-GB" sz="1100">
              <a:solidFill>
                <a:srgbClr val="002060"/>
              </a:solidFill>
              <a:effectLst/>
              <a:latin typeface="Arial" panose="020B0604020202020204" pitchFamily="34" charset="0"/>
              <a:ea typeface="Verdana" panose="020B0604030504040204" pitchFamily="34" charset="0"/>
              <a:cs typeface="Arial" panose="020B0604020202020204" pitchFamily="34" charset="0"/>
            </a:endParaRPr>
          </a:p>
        </c:rich>
      </c:tx>
      <c:overlay val="0"/>
    </c:title>
    <c:autoTitleDeleted val="0"/>
    <c:plotArea>
      <c:layout/>
      <c:pieChart>
        <c:varyColors val="1"/>
        <c:ser>
          <c:idx val="0"/>
          <c:order val="0"/>
          <c:tx>
            <c:strRef>
              <c:f>Blad1!$B$1</c:f>
              <c:strCache>
                <c:ptCount val="1"/>
                <c:pt idx="0">
                  <c:v>[Number of new EU Pilot files ] EU Pilot files opened against [Member State]</c:v>
                </c:pt>
              </c:strCache>
            </c:strRef>
          </c:tx>
          <c:spPr>
            <a:scene3d>
              <a:camera prst="orthographicFront"/>
              <a:lightRig rig="threePt" dir="t"/>
            </a:scene3d>
            <a:sp3d>
              <a:bevelT w="63500" h="25400"/>
            </a:sp3d>
          </c:spPr>
          <c:dPt>
            <c:idx val="0"/>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5673-4184-9E05-318A09975926}"/>
              </c:ext>
            </c:extLst>
          </c:dPt>
          <c:dPt>
            <c:idx val="1"/>
            <c:bubble3D val="0"/>
            <c:spPr>
              <a:solidFill>
                <a:srgbClr val="E7511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5673-4184-9E05-318A09975926}"/>
              </c:ext>
            </c:extLst>
          </c:dPt>
          <c:dPt>
            <c:idx val="2"/>
            <c:bubble3D val="0"/>
            <c:spPr>
              <a:solidFill>
                <a:srgbClr val="37ACDE"/>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5673-4184-9E05-318A09975926}"/>
              </c:ext>
            </c:extLst>
          </c:dPt>
          <c:dPt>
            <c:idx val="3"/>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5673-4184-9E05-318A09975926}"/>
              </c:ext>
            </c:extLst>
          </c:dPt>
          <c:dPt>
            <c:idx val="4"/>
            <c:bubble3D val="0"/>
            <c:spPr>
              <a:solidFill>
                <a:srgbClr val="E75113"/>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5673-4184-9E05-318A09975926}"/>
              </c:ext>
            </c:extLst>
          </c:dPt>
          <c:dLbls>
            <c:dLbl>
              <c:idx val="0"/>
              <c:layout>
                <c:manualLayout>
                  <c:x val="1.6472190564995166E-2"/>
                  <c:y val="3.5502688688304203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5673-4184-9E05-318A09975926}"/>
                </c:ext>
              </c:extLst>
            </c:dLbl>
            <c:dLbl>
              <c:idx val="1"/>
              <c:layout>
                <c:manualLayout>
                  <c:x val="2.4784432683619465E-2"/>
                  <c:y val="-0.1986552657480315"/>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5673-4184-9E05-318A09975926}"/>
                </c:ext>
              </c:extLst>
            </c:dLbl>
            <c:dLbl>
              <c:idx val="2"/>
              <c:layout>
                <c:manualLayout>
                  <c:x val="-6.8718858913127664E-2"/>
                  <c:y val="-0.12737696850393701"/>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5673-4184-9E05-318A09975926}"/>
                </c:ext>
              </c:extLst>
            </c:dLbl>
            <c:dLbl>
              <c:idx val="3"/>
              <c:layout>
                <c:manualLayout>
                  <c:x val="5.7567732076253625E-2"/>
                  <c:y val="-1.1042826963702707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673-4184-9E05-318A09975926}"/>
                </c:ext>
              </c:extLst>
            </c:dLbl>
            <c:dLbl>
              <c:idx val="4"/>
              <c:layout>
                <c:manualLayout>
                  <c:x val="8.4978070175438597E-2"/>
                  <c:y val="0"/>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673-4184-9E05-318A09975926}"/>
                </c:ext>
              </c:extLst>
            </c:dLbl>
            <c:dLbl>
              <c:idx val="5"/>
              <c:layout>
                <c:manualLayout>
                  <c:x val="1.6447368421052631E-2"/>
                  <c:y val="9.3156105424536533E-17"/>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5673-4184-9E05-318A09975926}"/>
                </c:ext>
              </c:extLst>
            </c:dLbl>
            <c:dLbl>
              <c:idx val="6"/>
              <c:layout>
                <c:manualLayout>
                  <c:x val="0"/>
                  <c:y val="-4.573170731707317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5673-4184-9E05-318A09975926}"/>
                </c:ext>
              </c:extLst>
            </c:dLbl>
            <c:spPr>
              <a:noFill/>
              <a:ln w="25361">
                <a:noFill/>
              </a:ln>
            </c:spPr>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Blad1!$A$3:$A$5</c:f>
              <c:strCache>
                <c:ptCount val="3"/>
                <c:pt idx="0">
                  <c:v>Environment</c:v>
                </c:pt>
                <c:pt idx="1">
                  <c:v>Energy</c:v>
                </c:pt>
                <c:pt idx="2">
                  <c:v>Climate action</c:v>
                </c:pt>
              </c:strCache>
            </c:strRef>
          </c:cat>
          <c:val>
            <c:numRef>
              <c:f>Blad1!$B$3:$B$5</c:f>
              <c:numCache>
                <c:formatCode>General</c:formatCode>
                <c:ptCount val="3"/>
                <c:pt idx="0">
                  <c:v>3</c:v>
                </c:pt>
                <c:pt idx="1">
                  <c:v>2</c:v>
                </c:pt>
                <c:pt idx="2">
                  <c:v>2</c:v>
                </c:pt>
              </c:numCache>
            </c:numRef>
          </c:val>
          <c:extLst xmlns:c16r2="http://schemas.microsoft.com/office/drawing/2015/06/chart">
            <c:ext xmlns:c16="http://schemas.microsoft.com/office/drawing/2014/chart" uri="{C3380CC4-5D6E-409C-BE32-E72D297353CC}">
              <c16:uniqueId val="{0000000C-5673-4184-9E05-318A09975926}"/>
            </c:ext>
          </c:extLst>
        </c:ser>
        <c:dLbls>
          <c:showLegendKey val="0"/>
          <c:showVal val="0"/>
          <c:showCatName val="0"/>
          <c:showSerName val="0"/>
          <c:showPercent val="0"/>
          <c:showBubbleSize val="0"/>
          <c:showLeaderLines val="0"/>
        </c:dLbls>
        <c:firstSliceAng val="268"/>
      </c:pieChart>
      <c:spPr>
        <a:noFill/>
        <a:ln w="25361">
          <a:noFill/>
        </a:ln>
      </c:spPr>
    </c:plotArea>
    <c:plotVisOnly val="1"/>
    <c:dispBlanksAs val="gap"/>
    <c:showDLblsOverMax val="0"/>
  </c:chart>
  <c:spPr>
    <a:solidFill>
      <a:schemeClr val="bg1"/>
    </a:solidFill>
    <a:ln w="951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Blad1!$B$2</c:f>
              <c:strCache>
                <c:ptCount val="1"/>
                <c:pt idx="0">
                  <c:v>Romania</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5.2863338006210125E-2"/>
                  <c:y val="-4.353146853146853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3473-43E4-9B1D-29C774DEEE4C}"/>
                </c:ext>
              </c:extLst>
            </c:dLbl>
            <c:dLbl>
              <c:idx val="2"/>
              <c:layout>
                <c:manualLayout>
                  <c:x val="-5.8215919527472001E-2"/>
                  <c:y val="8.408564814814814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C589-4C2B-85F3-8D1E678B9B4A}"/>
                </c:ext>
              </c:extLst>
            </c:dLbl>
            <c:dLbl>
              <c:idx val="3"/>
              <c:layout>
                <c:manualLayout>
                  <c:x val="-5.2863416948503328E-2"/>
                  <c:y val="-6.000246062992123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3473-43E4-9B1D-29C774DEEE4C}"/>
                </c:ext>
              </c:extLst>
            </c:dLbl>
            <c:dLbl>
              <c:idx val="4"/>
              <c:layout>
                <c:manualLayout>
                  <c:x val="-5.0087753265523165E-2"/>
                  <c:y val="9.591503021199884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3473-43E4-9B1D-29C774DEEE4C}"/>
                </c:ext>
              </c:extLst>
            </c:dLbl>
            <c:spPr>
              <a:noFill/>
              <a:ln w="25396">
                <a:noFill/>
              </a:ln>
            </c:spPr>
            <c:txPr>
              <a:bodyPr/>
              <a:lstStyle/>
              <a:p>
                <a:pPr>
                  <a:defRPr sz="90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0%</c:formatCode>
                <c:ptCount val="5"/>
                <c:pt idx="0">
                  <c:v>0.72</c:v>
                </c:pt>
                <c:pt idx="1">
                  <c:v>0.79</c:v>
                </c:pt>
                <c:pt idx="2">
                  <c:v>0.68</c:v>
                </c:pt>
                <c:pt idx="3">
                  <c:v>0.74</c:v>
                </c:pt>
                <c:pt idx="4">
                  <c:v>0.73</c:v>
                </c:pt>
              </c:numCache>
            </c:numRef>
          </c:val>
          <c:smooth val="0"/>
          <c:extLst xmlns:c16r2="http://schemas.microsoft.com/office/drawing/2015/06/chart">
            <c:ext xmlns:c16="http://schemas.microsoft.com/office/drawing/2014/chart" uri="{C3380CC4-5D6E-409C-BE32-E72D297353CC}">
              <c16:uniqueId val="{00000003-3473-43E4-9B1D-29C774DEEE4C}"/>
            </c:ext>
          </c:extLst>
        </c:ser>
        <c:ser>
          <c:idx val="1"/>
          <c:order val="1"/>
          <c:tx>
            <c:strRef>
              <c:f>Blad1!$C$2</c:f>
              <c:strCache>
                <c:ptCount val="1"/>
                <c:pt idx="0">
                  <c:v>General rate for all Member States</c:v>
                </c:pt>
              </c:strCache>
            </c:strRef>
          </c:tx>
          <c:spPr>
            <a:ln w="25396">
              <a:solidFill>
                <a:srgbClr val="92D050"/>
              </a:solidFill>
            </a:ln>
          </c:spPr>
          <c:marker>
            <c:symbol val="square"/>
            <c:size val="4"/>
            <c:spPr>
              <a:solidFill>
                <a:srgbClr val="92D050"/>
              </a:solidFill>
              <a:ln>
                <a:solidFill>
                  <a:srgbClr val="92D050"/>
                </a:solidFill>
              </a:ln>
            </c:spPr>
          </c:marker>
          <c:dLbls>
            <c:dLbl>
              <c:idx val="2"/>
              <c:layout>
                <c:manualLayout>
                  <c:x val="-5.1291878316205498E-2"/>
                  <c:y val="-5.804398148148148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C589-4C2B-85F3-8D1E678B9B4A}"/>
                </c:ext>
              </c:extLst>
            </c:dLbl>
            <c:dLbl>
              <c:idx val="3"/>
              <c:layout>
                <c:manualLayout>
                  <c:x val="-4.180758499714899E-2"/>
                  <c:y val="7.185905147273256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3473-43E4-9B1D-29C774DEEE4C}"/>
                </c:ext>
              </c:extLst>
            </c:dLbl>
            <c:dLbl>
              <c:idx val="4"/>
              <c:layout>
                <c:manualLayout>
                  <c:x val="-5.0087753265523165E-2"/>
                  <c:y val="-7.84331224008138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3473-43E4-9B1D-29C774DEEE4C}"/>
                </c:ext>
              </c:extLst>
            </c:dLbl>
            <c:spPr>
              <a:noFill/>
              <a:ln w="25396">
                <a:noFill/>
              </a:ln>
            </c:spPr>
            <c:txPr>
              <a:bodyPr/>
              <a:lstStyle/>
              <a:p>
                <a:pPr>
                  <a:defRPr sz="900">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2013</c:v>
                </c:pt>
                <c:pt idx="1">
                  <c:v>2014</c:v>
                </c:pt>
                <c:pt idx="2">
                  <c:v>2015</c:v>
                </c:pt>
                <c:pt idx="3">
                  <c:v>2016</c:v>
                </c:pt>
                <c:pt idx="4">
                  <c:v>2017</c:v>
                </c:pt>
              </c:numCache>
            </c:numRef>
          </c:cat>
          <c:val>
            <c:numRef>
              <c:f>Blad1!$C$3:$C$7</c:f>
              <c:numCache>
                <c:formatCode>0%</c:formatCode>
                <c:ptCount val="5"/>
                <c:pt idx="0">
                  <c:v>0.7</c:v>
                </c:pt>
                <c:pt idx="1">
                  <c:v>0.75</c:v>
                </c:pt>
                <c:pt idx="2">
                  <c:v>0.75</c:v>
                </c:pt>
                <c:pt idx="3">
                  <c:v>0.72</c:v>
                </c:pt>
                <c:pt idx="4">
                  <c:v>0.77</c:v>
                </c:pt>
              </c:numCache>
            </c:numRef>
          </c:val>
          <c:smooth val="0"/>
          <c:extLst xmlns:c16r2="http://schemas.microsoft.com/office/drawing/2015/06/chart">
            <c:ext xmlns:c16="http://schemas.microsoft.com/office/drawing/2014/chart" uri="{C3380CC4-5D6E-409C-BE32-E72D297353CC}">
              <c16:uniqueId val="{00000006-3473-43E4-9B1D-29C774DEEE4C}"/>
            </c:ext>
          </c:extLst>
        </c:ser>
        <c:dLbls>
          <c:showLegendKey val="0"/>
          <c:showVal val="0"/>
          <c:showCatName val="0"/>
          <c:showSerName val="0"/>
          <c:showPercent val="0"/>
          <c:showBubbleSize val="0"/>
        </c:dLbls>
        <c:marker val="1"/>
        <c:smooth val="0"/>
        <c:axId val="328902528"/>
        <c:axId val="328904064"/>
      </c:lineChart>
      <c:catAx>
        <c:axId val="328902528"/>
        <c:scaling>
          <c:orientation val="minMax"/>
        </c:scaling>
        <c:delete val="0"/>
        <c:axPos val="b"/>
        <c:numFmt formatCode="General" sourceLinked="1"/>
        <c:majorTickMark val="none"/>
        <c:minorTickMark val="none"/>
        <c:tickLblPos val="nextTo"/>
        <c:spPr>
          <a:noFill/>
          <a:ln w="12698"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28904064"/>
        <c:crosses val="autoZero"/>
        <c:auto val="1"/>
        <c:lblAlgn val="ctr"/>
        <c:lblOffset val="100"/>
        <c:noMultiLvlLbl val="0"/>
      </c:catAx>
      <c:valAx>
        <c:axId val="328904064"/>
        <c:scaling>
          <c:orientation val="minMax"/>
          <c:min val="0.4"/>
        </c:scaling>
        <c:delete val="1"/>
        <c:axPos val="l"/>
        <c:majorGridlines>
          <c:spPr>
            <a:ln w="9524" cap="flat" cmpd="sng" algn="ctr">
              <a:solidFill>
                <a:schemeClr val="tx1">
                  <a:lumMod val="15000"/>
                  <a:lumOff val="85000"/>
                </a:schemeClr>
              </a:solidFill>
              <a:round/>
            </a:ln>
            <a:effectLst/>
          </c:spPr>
        </c:majorGridlines>
        <c:numFmt formatCode="0%" sourceLinked="1"/>
        <c:majorTickMark val="out"/>
        <c:minorTickMark val="none"/>
        <c:tickLblPos val="nextTo"/>
        <c:crossAx val="328902528"/>
        <c:crosses val="autoZero"/>
        <c:crossBetween val="between"/>
      </c:valAx>
      <c:spPr>
        <a:noFill/>
        <a:ln w="25396">
          <a:noFill/>
        </a:ln>
      </c:spPr>
    </c:plotArea>
    <c:legend>
      <c:legendPos val="b"/>
      <c:overlay val="0"/>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5797879664050666E-2"/>
          <c:y val="5.9961842463886618E-2"/>
          <c:w val="0.93939393939393945"/>
          <c:h val="0.8205170068027211"/>
        </c:manualLayout>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Lbls>
            <c:dLbl>
              <c:idx val="1"/>
              <c:layout>
                <c:manualLayout>
                  <c:x val="-4.2177317674200264E-2"/>
                  <c:y val="-6.84814030298542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EB6A-4481-BDE6-061507EBD14E}"/>
                </c:ext>
              </c:extLst>
            </c:dLbl>
            <c:dLbl>
              <c:idx val="2"/>
              <c:layout>
                <c:manualLayout>
                  <c:x val="-3.9252293876488577E-2"/>
                  <c:y val="6.738700519577910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EB6A-4481-BDE6-061507EBD14E}"/>
                </c:ext>
              </c:extLst>
            </c:dLbl>
            <c:dLbl>
              <c:idx val="3"/>
              <c:layout>
                <c:manualLayout>
                  <c:x val="-4.2025386313465786E-2"/>
                  <c:y val="5.742894391490537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EB6A-4481-BDE6-061507EBD14E}"/>
                </c:ext>
              </c:extLst>
            </c:dLbl>
            <c:spPr>
              <a:noFill/>
              <a:ln w="25404">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Blad1!$A$4:$A$8</c:f>
              <c:numCache>
                <c:formatCode>General</c:formatCode>
                <c:ptCount val="5"/>
                <c:pt idx="0">
                  <c:v>2013</c:v>
                </c:pt>
                <c:pt idx="1">
                  <c:v>2014</c:v>
                </c:pt>
                <c:pt idx="2">
                  <c:v>2015</c:v>
                </c:pt>
                <c:pt idx="3">
                  <c:v>2016</c:v>
                </c:pt>
                <c:pt idx="4">
                  <c:v>2017</c:v>
                </c:pt>
              </c:numCache>
            </c:numRef>
          </c:cat>
          <c:val>
            <c:numRef>
              <c:f>Blad1!$B$4:$B$8</c:f>
              <c:numCache>
                <c:formatCode>General</c:formatCode>
                <c:ptCount val="5"/>
                <c:pt idx="0">
                  <c:v>47</c:v>
                </c:pt>
                <c:pt idx="1">
                  <c:v>68</c:v>
                </c:pt>
                <c:pt idx="2">
                  <c:v>50</c:v>
                </c:pt>
                <c:pt idx="3">
                  <c:v>57</c:v>
                </c:pt>
                <c:pt idx="4">
                  <c:v>58</c:v>
                </c:pt>
              </c:numCache>
            </c:numRef>
          </c:val>
          <c:smooth val="0"/>
          <c:extLst xmlns:c16r2="http://schemas.microsoft.com/office/drawing/2015/06/chart">
            <c:ext xmlns:c16="http://schemas.microsoft.com/office/drawing/2014/chart" uri="{C3380CC4-5D6E-409C-BE32-E72D297353CC}">
              <c16:uniqueId val="{00000003-EB6A-4481-BDE6-061507EBD14E}"/>
            </c:ext>
          </c:extLst>
        </c:ser>
        <c:dLbls>
          <c:showLegendKey val="0"/>
          <c:showVal val="0"/>
          <c:showCatName val="0"/>
          <c:showSerName val="0"/>
          <c:showPercent val="0"/>
          <c:showBubbleSize val="0"/>
        </c:dLbls>
        <c:marker val="1"/>
        <c:smooth val="0"/>
        <c:axId val="329029120"/>
        <c:axId val="329030656"/>
      </c:lineChart>
      <c:catAx>
        <c:axId val="329029120"/>
        <c:scaling>
          <c:orientation val="minMax"/>
        </c:scaling>
        <c:delete val="0"/>
        <c:axPos val="b"/>
        <c:numFmt formatCode="General" sourceLinked="1"/>
        <c:majorTickMark val="none"/>
        <c:minorTickMark val="none"/>
        <c:tickLblPos val="nextTo"/>
        <c:spPr>
          <a:noFill/>
          <a:ln w="12702"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29030656"/>
        <c:crosses val="autoZero"/>
        <c:auto val="1"/>
        <c:lblAlgn val="ctr"/>
        <c:lblOffset val="100"/>
        <c:noMultiLvlLbl val="0"/>
      </c:catAx>
      <c:valAx>
        <c:axId val="329030656"/>
        <c:scaling>
          <c:orientation val="minMax"/>
          <c:min val="35"/>
        </c:scaling>
        <c:delete val="1"/>
        <c:axPos val="l"/>
        <c:majorGridlines>
          <c:spPr>
            <a:ln w="9527" cap="flat" cmpd="sng" algn="ctr">
              <a:solidFill>
                <a:schemeClr val="tx1">
                  <a:lumMod val="15000"/>
                  <a:lumOff val="85000"/>
                </a:schemeClr>
              </a:solidFill>
              <a:round/>
            </a:ln>
            <a:effectLst/>
          </c:spPr>
        </c:majorGridlines>
        <c:numFmt formatCode="General" sourceLinked="1"/>
        <c:majorTickMark val="out"/>
        <c:minorTickMark val="none"/>
        <c:tickLblPos val="nextTo"/>
        <c:crossAx val="329029120"/>
        <c:crosses val="autoZero"/>
        <c:crossBetween val="between"/>
      </c:valAx>
      <c:spPr>
        <a:noFill/>
        <a:ln w="25383">
          <a:noFill/>
        </a:ln>
      </c:spPr>
    </c:plotArea>
    <c:plotVisOnly val="1"/>
    <c:dispBlanksAs val="gap"/>
    <c:showDLblsOverMax val="0"/>
  </c:chart>
  <c:spPr>
    <a:solidFill>
      <a:schemeClr val="bg1"/>
    </a:solidFill>
    <a:ln w="9527"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8"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US" sz="1098" b="0" baseline="0">
                <a:solidFill>
                  <a:srgbClr val="002060"/>
                </a:solidFill>
                <a:latin typeface="Arial" panose="020B0604020202020204" pitchFamily="34" charset="0"/>
                <a:ea typeface="Verdana" panose="020B0604030504040204" pitchFamily="34" charset="0"/>
                <a:cs typeface="Arial" panose="020B0604020202020204" pitchFamily="34" charset="0"/>
              </a:rPr>
              <a:t>29 new </a:t>
            </a:r>
            <a:r>
              <a:rPr lang="en-US" sz="1098"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against</a:t>
            </a:r>
            <a:r>
              <a:rPr lang="en-US" sz="1098" b="0" baseline="0">
                <a:solidFill>
                  <a:srgbClr val="002060"/>
                </a:solidFill>
                <a:latin typeface="Arial" panose="020B0604020202020204" pitchFamily="34" charset="0"/>
                <a:ea typeface="Verdana" panose="020B0604030504040204" pitchFamily="34" charset="0"/>
                <a:cs typeface="Arial" panose="020B0604020202020204" pitchFamily="34" charset="0"/>
              </a:rPr>
              <a:t> </a:t>
            </a:r>
            <a:r>
              <a:rPr lang="en-US" sz="1098"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Romania</a:t>
            </a:r>
            <a:endParaRPr lang="en-US"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6218115768277933"/>
          <c:y val="3.2786849513805512E-2"/>
        </c:manualLayout>
      </c:layout>
      <c:overlay val="0"/>
      <c:spPr>
        <a:noFill/>
        <a:ln w="25345">
          <a:noFill/>
        </a:ln>
      </c:spPr>
    </c:title>
    <c:autoTitleDeleted val="0"/>
    <c:plotArea>
      <c:layout/>
      <c:pieChart>
        <c:varyColors val="1"/>
        <c:ser>
          <c:idx val="0"/>
          <c:order val="0"/>
          <c:tx>
            <c:strRef>
              <c:f>Blad1!$B$1</c:f>
              <c:strCache>
                <c:ptCount val="1"/>
                <c:pt idx="0">
                  <c:v>[Number of infringement cases] infringement cases against Austria</c:v>
                </c:pt>
              </c:strCache>
            </c:strRef>
          </c:tx>
          <c:spPr>
            <a:scene3d>
              <a:camera prst="orthographicFront"/>
              <a:lightRig rig="threePt" dir="t"/>
            </a:scene3d>
            <a:sp3d>
              <a:bevelT w="63500" h="25400"/>
            </a:sp3d>
          </c:spPr>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0B74-4893-A719-CAD17001430F}"/>
              </c:ext>
            </c:extLst>
          </c:dPt>
          <c:dPt>
            <c:idx val="1"/>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0B74-4893-A719-CAD17001430F}"/>
              </c:ext>
            </c:extLst>
          </c:dPt>
          <c:dPt>
            <c:idx val="2"/>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0B74-4893-A719-CAD17001430F}"/>
              </c:ext>
            </c:extLst>
          </c:dPt>
          <c:dPt>
            <c:idx val="3"/>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0B74-4893-A719-CAD17001430F}"/>
              </c:ext>
            </c:extLst>
          </c:dPt>
          <c:dPt>
            <c:idx val="4"/>
            <c:bubble3D val="0"/>
            <c:spPr>
              <a:solidFill>
                <a:srgbClr val="FFD617"/>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0B74-4893-A719-CAD17001430F}"/>
              </c:ext>
            </c:extLst>
          </c:dPt>
          <c:dPt>
            <c:idx val="5"/>
            <c:bubble3D val="0"/>
            <c:spPr>
              <a:solidFill>
                <a:srgbClr val="95C15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0B74-4893-A719-CAD17001430F}"/>
              </c:ext>
            </c:extLst>
          </c:dPt>
          <c:dPt>
            <c:idx val="6"/>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C-0B74-4893-A719-CAD17001430F}"/>
              </c:ext>
            </c:extLst>
          </c:dPt>
          <c:dPt>
            <c:idx val="7"/>
            <c:bubble3D val="0"/>
            <c:extLst xmlns:c16r2="http://schemas.microsoft.com/office/drawing/2015/06/chart">
              <c:ext xmlns:c16="http://schemas.microsoft.com/office/drawing/2014/chart" uri="{C3380CC4-5D6E-409C-BE32-E72D297353CC}">
                <c16:uniqueId val="{0000000D-0B74-4893-A719-CAD17001430F}"/>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B74-4893-A719-CAD17001430F}"/>
                </c:ext>
              </c:extLst>
            </c:dLbl>
            <c:dLbl>
              <c:idx val="1"/>
              <c:layout>
                <c:manualLayout>
                  <c:x val="-1.025386892691553E-2"/>
                  <c:y val="-5.9402815531742273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0B74-4893-A719-CAD17001430F}"/>
                </c:ext>
              </c:extLst>
            </c:dLbl>
            <c:dLbl>
              <c:idx val="2"/>
              <c:layout>
                <c:manualLayout>
                  <c:x val="-0.12788173193272889"/>
                  <c:y val="5.8799370078740157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0B74-4893-A719-CAD17001430F}"/>
                </c:ext>
              </c:extLst>
            </c:dLbl>
            <c:dLbl>
              <c:idx val="3"/>
              <c:layout>
                <c:manualLayout>
                  <c:x val="-4.6252161623609759E-3"/>
                  <c:y val="8.5747151270725311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0B74-4893-A719-CAD17001430F}"/>
                </c:ext>
              </c:extLst>
            </c:dLbl>
            <c:dLbl>
              <c:idx val="4"/>
              <c:layout>
                <c:manualLayout>
                  <c:x val="2.4218962596230655E-2"/>
                  <c:y val="3.1243998463606683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0B74-4893-A719-CAD17001430F}"/>
                </c:ext>
              </c:extLst>
            </c:dLbl>
            <c:dLbl>
              <c:idx val="5"/>
              <c:layout>
                <c:manualLayout>
                  <c:x val="3.1877195751421942E-3"/>
                  <c:y val="3.6314120734908036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0B74-4893-A719-CAD17001430F}"/>
                </c:ext>
              </c:extLst>
            </c:dLbl>
            <c:dLbl>
              <c:idx val="6"/>
              <c:layout>
                <c:manualLayout>
                  <c:x val="-0.11878247958426132"/>
                  <c:y val="0"/>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0B74-4893-A719-CAD17001430F}"/>
                </c:ext>
              </c:extLst>
            </c:dLbl>
            <c:spPr>
              <a:noFill/>
              <a:ln w="25345">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Blad1!$A$2:$A$9</c:f>
              <c:strCache>
                <c:ptCount val="7"/>
                <c:pt idx="0">
                  <c:v>Policy Area</c:v>
                </c:pt>
                <c:pt idx="1">
                  <c:v>Mobility and transport</c:v>
                </c:pt>
                <c:pt idx="2">
                  <c:v>Environment</c:v>
                </c:pt>
                <c:pt idx="3">
                  <c:v>Financial stability, financial services and Capital Markets Union</c:v>
                </c:pt>
                <c:pt idx="4">
                  <c:v>Employment</c:v>
                </c:pt>
                <c:pt idx="5">
                  <c:v>Communication networks</c:v>
                </c:pt>
                <c:pt idx="6">
                  <c:v>Other</c:v>
                </c:pt>
              </c:strCache>
            </c:strRef>
          </c:cat>
          <c:val>
            <c:numRef>
              <c:f>Blad1!$B$2:$B$9</c:f>
              <c:numCache>
                <c:formatCode>General</c:formatCode>
                <c:ptCount val="8"/>
                <c:pt idx="0">
                  <c:v>0</c:v>
                </c:pt>
                <c:pt idx="1">
                  <c:v>7</c:v>
                </c:pt>
                <c:pt idx="2">
                  <c:v>7</c:v>
                </c:pt>
                <c:pt idx="3">
                  <c:v>4</c:v>
                </c:pt>
                <c:pt idx="4">
                  <c:v>2</c:v>
                </c:pt>
                <c:pt idx="5">
                  <c:v>2</c:v>
                </c:pt>
                <c:pt idx="6">
                  <c:v>7</c:v>
                </c:pt>
              </c:numCache>
            </c:numRef>
          </c:val>
          <c:extLst xmlns:c16r2="http://schemas.microsoft.com/office/drawing/2015/06/chart">
            <c:ext xmlns:c16="http://schemas.microsoft.com/office/drawing/2014/chart" uri="{C3380CC4-5D6E-409C-BE32-E72D297353CC}">
              <c16:uniqueId val="{0000000E-0B74-4893-A719-CAD17001430F}"/>
            </c:ext>
          </c:extLst>
        </c:ser>
        <c:dLbls>
          <c:showLegendKey val="0"/>
          <c:showVal val="0"/>
          <c:showCatName val="0"/>
          <c:showSerName val="0"/>
          <c:showPercent val="0"/>
          <c:showBubbleSize val="0"/>
          <c:showLeaderLines val="0"/>
        </c:dLbls>
        <c:firstSliceAng val="225"/>
      </c:pieChart>
      <c:spPr>
        <a:noFill/>
        <a:ln w="25345">
          <a:noFill/>
        </a:ln>
      </c:spPr>
    </c:plotArea>
    <c:plotVisOnly val="1"/>
    <c:dispBlanksAs val="gap"/>
    <c:showDLblsOverMax val="0"/>
  </c:chart>
  <c:spPr>
    <a:solidFill>
      <a:schemeClr val="bg1"/>
    </a:solidFill>
    <a:ln w="950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Lbls>
            <c:spPr>
              <a:noFill/>
              <a:ln w="25383">
                <a:noFill/>
              </a:ln>
            </c:spPr>
            <c:txPr>
              <a:bodyPr/>
              <a:lstStyle/>
              <a:p>
                <a:pPr>
                  <a:defRPr sz="899">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Blad1!$A$4:$A$8</c:f>
              <c:numCache>
                <c:formatCode>General</c:formatCode>
                <c:ptCount val="5"/>
                <c:pt idx="0">
                  <c:v>2013</c:v>
                </c:pt>
                <c:pt idx="1">
                  <c:v>2014</c:v>
                </c:pt>
                <c:pt idx="2">
                  <c:v>2015</c:v>
                </c:pt>
                <c:pt idx="3">
                  <c:v>2016</c:v>
                </c:pt>
                <c:pt idx="4">
                  <c:v>2017</c:v>
                </c:pt>
              </c:numCache>
            </c:numRef>
          </c:cat>
          <c:val>
            <c:numRef>
              <c:f>Blad1!$B$4:$B$8</c:f>
              <c:numCache>
                <c:formatCode>General</c:formatCode>
                <c:ptCount val="5"/>
                <c:pt idx="0">
                  <c:v>20</c:v>
                </c:pt>
                <c:pt idx="1">
                  <c:v>34</c:v>
                </c:pt>
                <c:pt idx="2">
                  <c:v>24</c:v>
                </c:pt>
                <c:pt idx="3">
                  <c:v>38</c:v>
                </c:pt>
                <c:pt idx="4">
                  <c:v>34</c:v>
                </c:pt>
              </c:numCache>
            </c:numRef>
          </c:val>
          <c:smooth val="0"/>
          <c:extLst xmlns:c16r2="http://schemas.microsoft.com/office/drawing/2015/06/chart">
            <c:ext xmlns:c16="http://schemas.microsoft.com/office/drawing/2014/chart" uri="{C3380CC4-5D6E-409C-BE32-E72D297353CC}">
              <c16:uniqueId val="{00000000-2B48-43BE-8C61-6DCA2B679AFB}"/>
            </c:ext>
          </c:extLst>
        </c:ser>
        <c:dLbls>
          <c:showLegendKey val="0"/>
          <c:showVal val="0"/>
          <c:showCatName val="0"/>
          <c:showSerName val="0"/>
          <c:showPercent val="0"/>
          <c:showBubbleSize val="0"/>
        </c:dLbls>
        <c:marker val="1"/>
        <c:smooth val="0"/>
        <c:axId val="329149824"/>
        <c:axId val="329151616"/>
      </c:lineChart>
      <c:catAx>
        <c:axId val="329149824"/>
        <c:scaling>
          <c:orientation val="minMax"/>
        </c:scaling>
        <c:delete val="0"/>
        <c:axPos val="b"/>
        <c:numFmt formatCode="General" sourceLinked="1"/>
        <c:majorTickMark val="none"/>
        <c:minorTickMark val="none"/>
        <c:tickLblPos val="nextTo"/>
        <c:spPr>
          <a:noFill/>
          <a:ln w="12702"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29151616"/>
        <c:crosses val="autoZero"/>
        <c:auto val="1"/>
        <c:lblAlgn val="ctr"/>
        <c:lblOffset val="100"/>
        <c:noMultiLvlLbl val="0"/>
      </c:catAx>
      <c:valAx>
        <c:axId val="329151616"/>
        <c:scaling>
          <c:orientation val="minMax"/>
        </c:scaling>
        <c:delete val="1"/>
        <c:axPos val="l"/>
        <c:majorGridlines>
          <c:spPr>
            <a:ln w="9527" cap="flat" cmpd="sng" algn="ctr">
              <a:solidFill>
                <a:schemeClr val="tx1">
                  <a:lumMod val="15000"/>
                  <a:lumOff val="85000"/>
                </a:schemeClr>
              </a:solidFill>
              <a:round/>
            </a:ln>
            <a:effectLst/>
          </c:spPr>
        </c:majorGridlines>
        <c:numFmt formatCode="General" sourceLinked="1"/>
        <c:majorTickMark val="out"/>
        <c:minorTickMark val="none"/>
        <c:tickLblPos val="nextTo"/>
        <c:crossAx val="329149824"/>
        <c:crosses val="autoZero"/>
        <c:crossBetween val="between"/>
      </c:valAx>
      <c:spPr>
        <a:noFill/>
        <a:ln w="25383">
          <a:noFill/>
        </a:ln>
      </c:spPr>
    </c:plotArea>
    <c:plotVisOnly val="1"/>
    <c:dispBlanksAs val="gap"/>
    <c:showDLblsOverMax val="0"/>
  </c:chart>
  <c:spPr>
    <a:solidFill>
      <a:schemeClr val="bg1"/>
    </a:solidFill>
    <a:ln w="9527"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4.2015182884748099E-2"/>
                  <c:y val="-8.313364055299540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295C-4D47-989E-AEE9EAAFF3B1}"/>
                </c:ext>
              </c:extLst>
            </c:dLbl>
            <c:dLbl>
              <c:idx val="3"/>
              <c:layout>
                <c:manualLayout>
                  <c:x val="-4.1986206896551727E-2"/>
                  <c:y val="-0.10153562653562656"/>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295C-4D47-989E-AEE9EAAFF3B1}"/>
                </c:ext>
              </c:extLst>
            </c:dLbl>
            <c:spPr>
              <a:noFill/>
              <a:ln w="25405">
                <a:noFill/>
              </a:ln>
            </c:spPr>
            <c:txPr>
              <a:bodyPr rot="0" spcFirstLastPara="1" vertOverflow="ellipsis" vert="horz" wrap="square" lIns="38100" tIns="19050" rIns="38100" bIns="19050" anchor="ctr" anchorCtr="1">
                <a:spAutoFit/>
              </a:bodyPr>
              <a:lstStyle/>
              <a:p>
                <a:pPr>
                  <a:defRPr sz="900" b="0" i="0" u="none" strike="noStrike" kern="1200" baseline="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Blad1!$A$2:$A$6</c:f>
              <c:numCache>
                <c:formatCode>General</c:formatCode>
                <c:ptCount val="5"/>
                <c:pt idx="0">
                  <c:v>2013</c:v>
                </c:pt>
                <c:pt idx="1">
                  <c:v>2014</c:v>
                </c:pt>
                <c:pt idx="2">
                  <c:v>2015</c:v>
                </c:pt>
                <c:pt idx="3">
                  <c:v>2016</c:v>
                </c:pt>
                <c:pt idx="4">
                  <c:v>2017</c:v>
                </c:pt>
              </c:numCache>
            </c:numRef>
          </c:cat>
          <c:val>
            <c:numRef>
              <c:f>Blad1!$B$2:$B$6</c:f>
              <c:numCache>
                <c:formatCode>General</c:formatCode>
                <c:ptCount val="5"/>
                <c:pt idx="0">
                  <c:v>21</c:v>
                </c:pt>
                <c:pt idx="1">
                  <c:v>37</c:v>
                </c:pt>
                <c:pt idx="2">
                  <c:v>22</c:v>
                </c:pt>
                <c:pt idx="3">
                  <c:v>35</c:v>
                </c:pt>
                <c:pt idx="4">
                  <c:v>19</c:v>
                </c:pt>
              </c:numCache>
            </c:numRef>
          </c:val>
          <c:smooth val="0"/>
          <c:extLst xmlns:c16r2="http://schemas.microsoft.com/office/drawing/2015/06/chart">
            <c:ext xmlns:c16="http://schemas.microsoft.com/office/drawing/2014/chart" uri="{C3380CC4-5D6E-409C-BE32-E72D297353CC}">
              <c16:uniqueId val="{00000004-B572-442E-AACA-2CFFC1589B47}"/>
            </c:ext>
          </c:extLst>
        </c:ser>
        <c:dLbls>
          <c:showLegendKey val="0"/>
          <c:showVal val="0"/>
          <c:showCatName val="0"/>
          <c:showSerName val="0"/>
          <c:showPercent val="0"/>
          <c:showBubbleSize val="0"/>
        </c:dLbls>
        <c:marker val="1"/>
        <c:smooth val="0"/>
        <c:axId val="329373952"/>
        <c:axId val="329388032"/>
      </c:lineChart>
      <c:catAx>
        <c:axId val="329373952"/>
        <c:scaling>
          <c:orientation val="minMax"/>
        </c:scaling>
        <c:delete val="0"/>
        <c:axPos val="b"/>
        <c:numFmt formatCode="General" sourceLinked="1"/>
        <c:majorTickMark val="none"/>
        <c:minorTickMark val="none"/>
        <c:tickLblPos val="nextTo"/>
        <c:spPr>
          <a:noFill/>
          <a:ln w="12702"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29388032"/>
        <c:crosses val="autoZero"/>
        <c:auto val="1"/>
        <c:lblAlgn val="ctr"/>
        <c:lblOffset val="100"/>
        <c:noMultiLvlLbl val="0"/>
      </c:catAx>
      <c:valAx>
        <c:axId val="329388032"/>
        <c:scaling>
          <c:orientation val="minMax"/>
          <c:min val="15"/>
        </c:scaling>
        <c:delete val="1"/>
        <c:axPos val="l"/>
        <c:majorGridlines>
          <c:spPr>
            <a:ln w="9527" cap="flat" cmpd="sng" algn="ctr">
              <a:solidFill>
                <a:schemeClr val="tx1">
                  <a:lumMod val="15000"/>
                  <a:lumOff val="85000"/>
                </a:schemeClr>
              </a:solidFill>
              <a:round/>
            </a:ln>
            <a:effectLst/>
          </c:spPr>
        </c:majorGridlines>
        <c:numFmt formatCode="General" sourceLinked="1"/>
        <c:majorTickMark val="out"/>
        <c:minorTickMark val="none"/>
        <c:tickLblPos val="nextTo"/>
        <c:crossAx val="329373952"/>
        <c:crosses val="autoZero"/>
        <c:crossBetween val="between"/>
      </c:valAx>
      <c:spPr>
        <a:noFill/>
        <a:ln w="25405">
          <a:noFill/>
        </a:ln>
      </c:spPr>
    </c:plotArea>
    <c:plotVisOnly val="1"/>
    <c:dispBlanksAs val="gap"/>
    <c:showDLblsOverMax val="0"/>
  </c:chart>
  <c:spPr>
    <a:solidFill>
      <a:schemeClr val="bg1"/>
    </a:solidFill>
    <a:ln w="9527"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9"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nl-BE" sz="1099" b="0" baseline="0">
                <a:solidFill>
                  <a:srgbClr val="002060"/>
                </a:solidFill>
                <a:latin typeface="Arial" panose="020B0604020202020204" pitchFamily="34" charset="0"/>
                <a:ea typeface="Verdana" panose="020B0604030504040204" pitchFamily="34" charset="0"/>
                <a:cs typeface="Arial" panose="020B0604020202020204" pitchFamily="34" charset="0"/>
              </a:rPr>
              <a:t>19 new </a:t>
            </a:r>
            <a:r>
              <a:rPr lang="nl-BE" sz="1099" b="0">
                <a:solidFill>
                  <a:srgbClr val="002060"/>
                </a:solidFill>
                <a:latin typeface="Arial" panose="020B0604020202020204" pitchFamily="34" charset="0"/>
                <a:ea typeface="Verdana" panose="020B0604030504040204" pitchFamily="34" charset="0"/>
                <a:cs typeface="Arial" panose="020B0604020202020204" pitchFamily="34" charset="0"/>
              </a:rPr>
              <a:t>late transposition infringement cases against </a:t>
            </a:r>
            <a:r>
              <a:rPr lang="en-GB" sz="10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Romania</a:t>
            </a:r>
            <a:endParaRPr lang="nl-BE"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w="25382">
          <a:noFill/>
        </a:ln>
      </c:spPr>
    </c:title>
    <c:autoTitleDeleted val="0"/>
    <c:plotArea>
      <c:layout>
        <c:manualLayout>
          <c:layoutTarget val="inner"/>
          <c:xMode val="edge"/>
          <c:yMode val="edge"/>
          <c:x val="0.31614720034995625"/>
          <c:y val="0.26226409198850142"/>
          <c:w val="0.3723354111986002"/>
          <c:h val="0.6382892763404574"/>
        </c:manualLayout>
      </c:layout>
      <c:pieChart>
        <c:varyColors val="1"/>
        <c:ser>
          <c:idx val="0"/>
          <c:order val="0"/>
          <c:tx>
            <c:strRef>
              <c:f>Blad1!$B$1</c:f>
              <c:strCache>
                <c:ptCount val="1"/>
                <c:pt idx="0">
                  <c:v>[Number of late transposition cases] late transposition cases against [Member State]</c:v>
                </c:pt>
              </c:strCache>
            </c:strRef>
          </c:tx>
          <c:spPr>
            <a:scene3d>
              <a:camera prst="orthographicFront"/>
              <a:lightRig rig="threePt" dir="t"/>
            </a:scene3d>
            <a:sp3d>
              <a:bevelT w="63500" h="25400"/>
            </a:sp3d>
          </c:spPr>
          <c:dPt>
            <c:idx val="0"/>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C112-4C24-9794-F78F8A86227D}"/>
              </c:ext>
            </c:extLst>
          </c:dPt>
          <c:dPt>
            <c:idx val="1"/>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C112-4C24-9794-F78F8A86227D}"/>
              </c:ext>
            </c:extLst>
          </c:dPt>
          <c:dPt>
            <c:idx val="2"/>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C112-4C24-9794-F78F8A86227D}"/>
              </c:ext>
            </c:extLst>
          </c:dPt>
          <c:dPt>
            <c:idx val="3"/>
            <c:bubble3D val="0"/>
            <c:spPr>
              <a:solidFill>
                <a:srgbClr val="FFD617"/>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C112-4C24-9794-F78F8A86227D}"/>
              </c:ext>
            </c:extLst>
          </c:dPt>
          <c:dPt>
            <c:idx val="4"/>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C112-4C24-9794-F78F8A86227D}"/>
              </c:ext>
            </c:extLst>
          </c:dPt>
          <c:dLbls>
            <c:dLbl>
              <c:idx val="0"/>
              <c:layout>
                <c:manualLayout>
                  <c:x val="-1.3943710323406806E-2"/>
                  <c:y val="0.1016143329446902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C112-4C24-9794-F78F8A86227D}"/>
                </c:ext>
              </c:extLst>
            </c:dLbl>
            <c:dLbl>
              <c:idx val="1"/>
              <c:layout>
                <c:manualLayout>
                  <c:x val="-1.9362673026867491E-2"/>
                  <c:y val="0.12317236010897875"/>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C112-4C24-9794-F78F8A86227D}"/>
                </c:ext>
              </c:extLst>
            </c:dLbl>
            <c:dLbl>
              <c:idx val="2"/>
              <c:layout>
                <c:manualLayout>
                  <c:x val="1.9512311998344606E-2"/>
                  <c:y val="-6.5968883167170644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C112-4C24-9794-F78F8A86227D}"/>
                </c:ext>
              </c:extLst>
            </c:dLbl>
            <c:dLbl>
              <c:idx val="3"/>
              <c:layout>
                <c:manualLayout>
                  <c:x val="5.534333104627482E-2"/>
                  <c:y val="0"/>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C112-4C24-9794-F78F8A86227D}"/>
                </c:ext>
              </c:extLst>
            </c:dLbl>
            <c:dLbl>
              <c:idx val="4"/>
              <c:layout>
                <c:manualLayout>
                  <c:x val="-2.4871870269328366E-2"/>
                  <c:y val="-0.13249902697524027"/>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C112-4C24-9794-F78F8A86227D}"/>
                </c:ext>
              </c:extLst>
            </c:dLbl>
            <c:spPr>
              <a:noFill/>
              <a:ln w="25382">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Blad1!$A$4:$A$8</c:f>
              <c:strCache>
                <c:ptCount val="5"/>
                <c:pt idx="0">
                  <c:v>Mobility and transport</c:v>
                </c:pt>
                <c:pt idx="1">
                  <c:v>Financial stability, financial services and Capital Markets Union</c:v>
                </c:pt>
                <c:pt idx="2">
                  <c:v>Environment</c:v>
                </c:pt>
                <c:pt idx="3">
                  <c:v>Employment</c:v>
                </c:pt>
                <c:pt idx="4">
                  <c:v>Other</c:v>
                </c:pt>
              </c:strCache>
            </c:strRef>
          </c:cat>
          <c:val>
            <c:numRef>
              <c:f>Blad1!$B$4:$B$8</c:f>
              <c:numCache>
                <c:formatCode>General</c:formatCode>
                <c:ptCount val="5"/>
                <c:pt idx="0">
                  <c:v>5</c:v>
                </c:pt>
                <c:pt idx="1">
                  <c:v>4</c:v>
                </c:pt>
                <c:pt idx="2">
                  <c:v>3</c:v>
                </c:pt>
                <c:pt idx="3">
                  <c:v>2</c:v>
                </c:pt>
                <c:pt idx="4">
                  <c:v>5</c:v>
                </c:pt>
              </c:numCache>
            </c:numRef>
          </c:val>
          <c:extLst xmlns:c16r2="http://schemas.microsoft.com/office/drawing/2015/06/chart">
            <c:ext xmlns:c16="http://schemas.microsoft.com/office/drawing/2014/chart" uri="{C3380CC4-5D6E-409C-BE32-E72D297353CC}">
              <c16:uniqueId val="{0000000A-C112-4C24-9794-F78F8A86227D}"/>
            </c:ext>
          </c:extLst>
        </c:ser>
        <c:dLbls>
          <c:showLegendKey val="0"/>
          <c:showVal val="0"/>
          <c:showCatName val="0"/>
          <c:showSerName val="0"/>
          <c:showPercent val="0"/>
          <c:showBubbleSize val="0"/>
          <c:showLeaderLines val="0"/>
        </c:dLbls>
        <c:firstSliceAng val="282"/>
      </c:pieChart>
      <c:spPr>
        <a:noFill/>
        <a:ln w="25382">
          <a:noFill/>
        </a:ln>
      </c:spPr>
    </c:plotArea>
    <c:plotVisOnly val="1"/>
    <c:dispBlanksAs val="gap"/>
    <c:showDLblsOverMax val="0"/>
  </c:chart>
  <c:spPr>
    <a:solidFill>
      <a:schemeClr val="bg1"/>
    </a:solidFill>
    <a:ln w="9518"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spPr>
              <a:noFill/>
              <a:ln w="25417">
                <a:noFill/>
              </a:ln>
            </c:spPr>
            <c:txPr>
              <a:bodyPr rot="0" spcFirstLastPara="1" vertOverflow="ellipsis" vert="horz" wrap="square" lIns="38100" tIns="19050" rIns="38100" bIns="19050" anchor="ctr" anchorCtr="1">
                <a:spAutoFit/>
              </a:bodyPr>
              <a:lstStyle/>
              <a:p>
                <a:pPr>
                  <a:defRPr sz="901"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General</c:formatCode>
                <c:ptCount val="5"/>
                <c:pt idx="0">
                  <c:v>35</c:v>
                </c:pt>
                <c:pt idx="1">
                  <c:v>37</c:v>
                </c:pt>
                <c:pt idx="2">
                  <c:v>49</c:v>
                </c:pt>
                <c:pt idx="3">
                  <c:v>37</c:v>
                </c:pt>
                <c:pt idx="4">
                  <c:v>42</c:v>
                </c:pt>
              </c:numCache>
            </c:numRef>
          </c:val>
          <c:smooth val="0"/>
          <c:extLst xmlns:c16r2="http://schemas.microsoft.com/office/drawing/2015/06/chart">
            <c:ext xmlns:c16="http://schemas.microsoft.com/office/drawing/2014/chart" uri="{C3380CC4-5D6E-409C-BE32-E72D297353CC}">
              <c16:uniqueId val="{00000000-F8C2-4804-B1DB-271584D58B85}"/>
            </c:ext>
          </c:extLst>
        </c:ser>
        <c:dLbls>
          <c:showLegendKey val="0"/>
          <c:showVal val="0"/>
          <c:showCatName val="0"/>
          <c:showSerName val="0"/>
          <c:showPercent val="0"/>
          <c:showBubbleSize val="0"/>
        </c:dLbls>
        <c:marker val="1"/>
        <c:smooth val="0"/>
        <c:axId val="329491200"/>
        <c:axId val="329492736"/>
      </c:lineChart>
      <c:catAx>
        <c:axId val="329491200"/>
        <c:scaling>
          <c:orientation val="minMax"/>
        </c:scaling>
        <c:delete val="0"/>
        <c:axPos val="b"/>
        <c:numFmt formatCode="General" sourceLinked="1"/>
        <c:majorTickMark val="none"/>
        <c:minorTickMark val="none"/>
        <c:tickLblPos val="nextTo"/>
        <c:spPr>
          <a:noFill/>
          <a:ln w="12708" cap="flat" cmpd="sng" algn="ctr">
            <a:solidFill>
              <a:schemeClr val="tx1">
                <a:lumMod val="15000"/>
                <a:lumOff val="85000"/>
              </a:schemeClr>
            </a:solidFill>
            <a:round/>
          </a:ln>
          <a:effectLst/>
        </c:spPr>
        <c:txPr>
          <a:bodyPr rot="-60000000" spcFirstLastPara="1" vertOverflow="ellipsis" vert="horz" wrap="square" anchor="ctr" anchorCtr="1"/>
          <a:lstStyle/>
          <a:p>
            <a:pPr>
              <a:defRPr sz="901"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29492736"/>
        <c:crosses val="autoZero"/>
        <c:auto val="1"/>
        <c:lblAlgn val="ctr"/>
        <c:lblOffset val="100"/>
        <c:noMultiLvlLbl val="0"/>
      </c:catAx>
      <c:valAx>
        <c:axId val="329492736"/>
        <c:scaling>
          <c:orientation val="minMax"/>
        </c:scaling>
        <c:delete val="1"/>
        <c:axPos val="l"/>
        <c:majorGridlines>
          <c:spPr>
            <a:ln w="9531" cap="flat" cmpd="sng" algn="ctr">
              <a:solidFill>
                <a:schemeClr val="tx1">
                  <a:lumMod val="15000"/>
                  <a:lumOff val="85000"/>
                </a:schemeClr>
              </a:solidFill>
              <a:round/>
            </a:ln>
            <a:effectLst/>
          </c:spPr>
        </c:majorGridlines>
        <c:numFmt formatCode="General" sourceLinked="1"/>
        <c:majorTickMark val="out"/>
        <c:minorTickMark val="none"/>
        <c:tickLblPos val="nextTo"/>
        <c:crossAx val="329491200"/>
        <c:crosses val="autoZero"/>
        <c:crossBetween val="between"/>
      </c:valAx>
      <c:spPr>
        <a:noFill/>
        <a:ln w="25417">
          <a:noFill/>
        </a:ln>
      </c:spPr>
    </c:plotArea>
    <c:plotVisOnly val="1"/>
    <c:dispBlanksAs val="gap"/>
    <c:showDLblsOverMax val="0"/>
  </c:chart>
  <c:spPr>
    <a:solidFill>
      <a:schemeClr val="bg1"/>
    </a:solidFill>
    <a:ln w="953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5.3269921958590448E-2"/>
                  <c:y val="5.971951525861247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3D6A-4154-90CA-A3BE6B3EF68A}"/>
                </c:ext>
              </c:extLst>
            </c:dLbl>
            <c:spPr>
              <a:noFill/>
              <a:ln w="25387">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Blad1!$A$2:$A$6</c:f>
              <c:numCache>
                <c:formatCode>General</c:formatCode>
                <c:ptCount val="5"/>
                <c:pt idx="0">
                  <c:v>2013</c:v>
                </c:pt>
                <c:pt idx="1">
                  <c:v>2014</c:v>
                </c:pt>
                <c:pt idx="2">
                  <c:v>2015</c:v>
                </c:pt>
                <c:pt idx="3">
                  <c:v>2016</c:v>
                </c:pt>
                <c:pt idx="4">
                  <c:v>2017</c:v>
                </c:pt>
              </c:numCache>
            </c:numRef>
          </c:cat>
          <c:val>
            <c:numRef>
              <c:f>Blad1!$B$2:$B$6</c:f>
              <c:numCache>
                <c:formatCode>General</c:formatCode>
                <c:ptCount val="5"/>
                <c:pt idx="0">
                  <c:v>12</c:v>
                </c:pt>
                <c:pt idx="1">
                  <c:v>16</c:v>
                </c:pt>
                <c:pt idx="2">
                  <c:v>25</c:v>
                </c:pt>
                <c:pt idx="3">
                  <c:v>36</c:v>
                </c:pt>
                <c:pt idx="4">
                  <c:v>35</c:v>
                </c:pt>
              </c:numCache>
            </c:numRef>
          </c:val>
          <c:smooth val="0"/>
          <c:extLst xmlns:c16r2="http://schemas.microsoft.com/office/drawing/2015/06/chart">
            <c:ext xmlns:c16="http://schemas.microsoft.com/office/drawing/2014/chart" uri="{C3380CC4-5D6E-409C-BE32-E72D297353CC}">
              <c16:uniqueId val="{00000001-3D6A-4154-90CA-A3BE6B3EF68A}"/>
            </c:ext>
          </c:extLst>
        </c:ser>
        <c:dLbls>
          <c:showLegendKey val="0"/>
          <c:showVal val="0"/>
          <c:showCatName val="0"/>
          <c:showSerName val="0"/>
          <c:showPercent val="0"/>
          <c:showBubbleSize val="0"/>
        </c:dLbls>
        <c:marker val="1"/>
        <c:smooth val="0"/>
        <c:axId val="140278400"/>
        <c:axId val="140288384"/>
      </c:lineChart>
      <c:catAx>
        <c:axId val="140278400"/>
        <c:scaling>
          <c:orientation val="minMax"/>
        </c:scaling>
        <c:delete val="0"/>
        <c:axPos val="b"/>
        <c:numFmt formatCode="General" sourceLinked="1"/>
        <c:majorTickMark val="none"/>
        <c:minorTickMark val="none"/>
        <c:tickLblPos val="nextTo"/>
        <c:spPr>
          <a:noFill/>
          <a:ln w="12693"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40288384"/>
        <c:crosses val="autoZero"/>
        <c:auto val="1"/>
        <c:lblAlgn val="ctr"/>
        <c:lblOffset val="100"/>
        <c:noMultiLvlLbl val="0"/>
      </c:catAx>
      <c:valAx>
        <c:axId val="140288384"/>
        <c:scaling>
          <c:orientation val="minMax"/>
          <c:min val="5"/>
        </c:scaling>
        <c:delete val="1"/>
        <c:axPos val="l"/>
        <c:majorGridlines>
          <c:spPr>
            <a:ln w="9520" cap="flat" cmpd="sng" algn="ctr">
              <a:solidFill>
                <a:schemeClr val="tx1">
                  <a:lumMod val="15000"/>
                  <a:lumOff val="85000"/>
                </a:schemeClr>
              </a:solidFill>
              <a:round/>
            </a:ln>
            <a:effectLst/>
          </c:spPr>
        </c:majorGridlines>
        <c:numFmt formatCode="General" sourceLinked="1"/>
        <c:majorTickMark val="out"/>
        <c:minorTickMark val="none"/>
        <c:tickLblPos val="nextTo"/>
        <c:crossAx val="140278400"/>
        <c:crosses val="autoZero"/>
        <c:crossBetween val="between"/>
      </c:valAx>
      <c:spPr>
        <a:noFill/>
        <a:ln w="25387">
          <a:noFill/>
        </a:ln>
      </c:spPr>
    </c:plotArea>
    <c:plotVisOnly val="1"/>
    <c:dispBlanksAs val="gap"/>
    <c:showDLblsOverMax val="0"/>
  </c:chart>
  <c:spPr>
    <a:solidFill>
      <a:schemeClr val="bg1"/>
    </a:solidFill>
    <a:ln w="952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mn-lt"/>
                <a:ea typeface="+mn-ea"/>
                <a:cs typeface="+mn-cs"/>
              </a:defRPr>
            </a:pPr>
            <a:r>
              <a:rPr lang="en-US" sz="1100" b="0" i="0">
                <a:solidFill>
                  <a:srgbClr val="002060"/>
                </a:solidFill>
                <a:latin typeface="Arial" panose="020B0604020202020204" pitchFamily="34" charset="0"/>
                <a:ea typeface="Verdana" panose="020B0604030504040204" pitchFamily="34" charset="0"/>
                <a:cs typeface="Arial" panose="020B0604020202020204" pitchFamily="34" charset="0"/>
              </a:rPr>
              <a:t>42 complaints made against </a:t>
            </a:r>
            <a:r>
              <a:rPr lang="en-US"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Slovenia</a:t>
            </a:r>
            <a:endParaRPr lang="en-US" sz="1100" b="0" i="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w="25399">
          <a:noFill/>
        </a:ln>
      </c:spPr>
    </c:title>
    <c:autoTitleDeleted val="0"/>
    <c:plotArea>
      <c:layout/>
      <c:pieChart>
        <c:varyColors val="1"/>
        <c:ser>
          <c:idx val="0"/>
          <c:order val="0"/>
          <c:tx>
            <c:strRef>
              <c:f>Blad1!$B$1</c:f>
              <c:strCache>
                <c:ptCount val="1"/>
                <c:pt idx="0">
                  <c:v>[Number of new complaints] complaints made against [Member State]</c:v>
                </c:pt>
              </c:strCache>
            </c:strRef>
          </c:tx>
          <c:spPr>
            <a:scene3d>
              <a:camera prst="orthographicFront"/>
              <a:lightRig rig="threePt" dir="t"/>
            </a:scene3d>
            <a:sp3d>
              <a:bevelT w="63500" h="25400"/>
            </a:sp3d>
          </c:spPr>
          <c:dPt>
            <c:idx val="0"/>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7480-493B-8529-DD11F6411C01}"/>
              </c:ext>
            </c:extLst>
          </c:dPt>
          <c:dPt>
            <c:idx val="1"/>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7480-493B-8529-DD11F6411C01}"/>
              </c:ext>
            </c:extLst>
          </c:dPt>
          <c:dPt>
            <c:idx val="2"/>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7480-493B-8529-DD11F6411C01}"/>
              </c:ext>
            </c:extLst>
          </c:dPt>
          <c:dPt>
            <c:idx val="3"/>
            <c:bubble3D val="0"/>
            <c:spPr>
              <a:solidFill>
                <a:srgbClr val="95C15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7480-493B-8529-DD11F6411C01}"/>
              </c:ext>
            </c:extLst>
          </c:dPt>
          <c:dPt>
            <c:idx val="4"/>
            <c:bubble3D val="0"/>
            <c:spPr>
              <a:solidFill>
                <a:srgbClr val="A2000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7480-493B-8529-DD11F6411C01}"/>
              </c:ext>
            </c:extLst>
          </c:dPt>
          <c:dPt>
            <c:idx val="5"/>
            <c:bubble3D val="0"/>
            <c:spPr>
              <a:solidFill>
                <a:srgbClr val="00A676"/>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8836-4E08-A2EF-5FD6E70BA432}"/>
              </c:ext>
            </c:extLst>
          </c:dPt>
          <c:dPt>
            <c:idx val="6"/>
            <c:bubble3D val="0"/>
            <c:spPr>
              <a:solidFill>
                <a:srgbClr val="37ACDE"/>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D-8836-4E08-A2EF-5FD6E70BA432}"/>
              </c:ext>
            </c:extLst>
          </c:dPt>
          <c:dPt>
            <c:idx val="7"/>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F-8836-4E08-A2EF-5FD6E70BA432}"/>
              </c:ext>
            </c:extLst>
          </c:dPt>
          <c:dLbls>
            <c:dLbl>
              <c:idx val="0"/>
              <c:layout>
                <c:manualLayout>
                  <c:x val="-1.1879484795342286E-2"/>
                  <c:y val="-5.3254746665438751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7480-493B-8529-DD11F6411C01}"/>
                </c:ext>
              </c:extLst>
            </c:dLbl>
            <c:dLbl>
              <c:idx val="1"/>
              <c:layout>
                <c:manualLayout>
                  <c:x val="-0.16786228515157578"/>
                  <c:y val="0.1135677119307455"/>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7480-493B-8529-DD11F6411C01}"/>
                </c:ext>
              </c:extLst>
            </c:dLbl>
            <c:dLbl>
              <c:idx val="2"/>
              <c:layout>
                <c:manualLayout>
                  <c:x val="-3.1905456885153928E-2"/>
                  <c:y val="-9.9714509370539203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7480-493B-8529-DD11F6411C01}"/>
                </c:ext>
              </c:extLst>
            </c:dLbl>
            <c:dLbl>
              <c:idx val="7"/>
              <c:layout>
                <c:manualLayout>
                  <c:x val="-0.10182824680547219"/>
                  <c:y val="-3.3456892449847279E-2"/>
                </c:manualLayout>
              </c:layou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F-8836-4E08-A2EF-5FD6E70BA432}"/>
                </c:ext>
              </c:extLst>
            </c:dLbl>
            <c:spPr>
              <a:noFill/>
              <a:ln w="25399">
                <a:noFill/>
              </a:ln>
            </c:spPr>
            <c:txPr>
              <a:bodyPr/>
              <a:lstStyle/>
              <a:p>
                <a:pPr>
                  <a:defRPr sz="900">
                    <a:latin typeface="Arial" panose="020B0604020202020204" pitchFamily="34" charset="0"/>
                    <a:cs typeface="Arial" panose="020B0604020202020204" pitchFamily="34" charset="0"/>
                  </a:defRPr>
                </a:pPr>
                <a:endParaRPr lang="en-US"/>
              </a:p>
            </c:txPr>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15:layout/>
              </c:ext>
            </c:extLst>
          </c:dLbls>
          <c:cat>
            <c:strRef>
              <c:f>Blad1!$A$3:$A$10</c:f>
              <c:strCache>
                <c:ptCount val="8"/>
                <c:pt idx="0">
                  <c:v>Justice and consumers</c:v>
                </c:pt>
                <c:pt idx="1">
                  <c:v>Internal market, industry, entrepreneurship and SMEs</c:v>
                </c:pt>
                <c:pt idx="2">
                  <c:v>Mobility and transport</c:v>
                </c:pt>
                <c:pt idx="3">
                  <c:v>Communication networks</c:v>
                </c:pt>
                <c:pt idx="4">
                  <c:v>Taxation and customs</c:v>
                </c:pt>
                <c:pt idx="5">
                  <c:v>Environment</c:v>
                </c:pt>
                <c:pt idx="6">
                  <c:v>Migration and home affairs</c:v>
                </c:pt>
                <c:pt idx="7">
                  <c:v>Other</c:v>
                </c:pt>
              </c:strCache>
            </c:strRef>
          </c:cat>
          <c:val>
            <c:numRef>
              <c:f>Blad1!$B$3:$B$10</c:f>
              <c:numCache>
                <c:formatCode>General</c:formatCode>
                <c:ptCount val="8"/>
                <c:pt idx="0">
                  <c:v>12</c:v>
                </c:pt>
                <c:pt idx="1">
                  <c:v>8</c:v>
                </c:pt>
                <c:pt idx="2">
                  <c:v>3</c:v>
                </c:pt>
                <c:pt idx="3">
                  <c:v>3</c:v>
                </c:pt>
                <c:pt idx="4">
                  <c:v>3</c:v>
                </c:pt>
                <c:pt idx="5">
                  <c:v>3</c:v>
                </c:pt>
                <c:pt idx="6">
                  <c:v>3</c:v>
                </c:pt>
                <c:pt idx="7">
                  <c:v>7</c:v>
                </c:pt>
              </c:numCache>
            </c:numRef>
          </c:val>
          <c:extLst xmlns:c16r2="http://schemas.microsoft.com/office/drawing/2015/06/chart">
            <c:ext xmlns:c16="http://schemas.microsoft.com/office/drawing/2014/chart" uri="{C3380CC4-5D6E-409C-BE32-E72D297353CC}">
              <c16:uniqueId val="{0000000A-7480-493B-8529-DD11F6411C01}"/>
            </c:ext>
          </c:extLst>
        </c:ser>
        <c:dLbls>
          <c:showLegendKey val="0"/>
          <c:showVal val="0"/>
          <c:showCatName val="0"/>
          <c:showSerName val="0"/>
          <c:showPercent val="0"/>
          <c:showBubbleSize val="0"/>
          <c:showLeaderLines val="0"/>
        </c:dLbls>
        <c:firstSliceAng val="219"/>
      </c:pieChart>
      <c:spPr>
        <a:noFill/>
        <a:ln w="25399">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spPr>
              <a:noFill/>
              <a:ln w="25384">
                <a:noFill/>
              </a:ln>
            </c:spPr>
            <c:txPr>
              <a:bodyPr/>
              <a:lstStyle/>
              <a:p>
                <a:pPr>
                  <a:defRPr sz="899">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General</c:formatCode>
                <c:ptCount val="5"/>
                <c:pt idx="0">
                  <c:v>37</c:v>
                </c:pt>
                <c:pt idx="1">
                  <c:v>36</c:v>
                </c:pt>
                <c:pt idx="2">
                  <c:v>26</c:v>
                </c:pt>
                <c:pt idx="3">
                  <c:v>20</c:v>
                </c:pt>
                <c:pt idx="4">
                  <c:v>8</c:v>
                </c:pt>
              </c:numCache>
            </c:numRef>
          </c:val>
          <c:smooth val="0"/>
          <c:extLst xmlns:c16r2="http://schemas.microsoft.com/office/drawing/2015/06/chart">
            <c:ext xmlns:c16="http://schemas.microsoft.com/office/drawing/2014/chart" uri="{C3380CC4-5D6E-409C-BE32-E72D297353CC}">
              <c16:uniqueId val="{00000000-2BC0-4558-BF33-C6699ADA554B}"/>
            </c:ext>
          </c:extLst>
        </c:ser>
        <c:dLbls>
          <c:showLegendKey val="0"/>
          <c:showVal val="0"/>
          <c:showCatName val="0"/>
          <c:showSerName val="0"/>
          <c:showPercent val="0"/>
          <c:showBubbleSize val="0"/>
        </c:dLbls>
        <c:marker val="1"/>
        <c:smooth val="0"/>
        <c:axId val="329631232"/>
        <c:axId val="329632768"/>
      </c:lineChart>
      <c:catAx>
        <c:axId val="329631232"/>
        <c:scaling>
          <c:orientation val="minMax"/>
        </c:scaling>
        <c:delete val="0"/>
        <c:axPos val="b"/>
        <c:numFmt formatCode="General" sourceLinked="1"/>
        <c:majorTickMark val="none"/>
        <c:minorTickMark val="none"/>
        <c:tickLblPos val="nextTo"/>
        <c:spPr>
          <a:noFill/>
          <a:ln w="12692"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29632768"/>
        <c:crosses val="autoZero"/>
        <c:auto val="1"/>
        <c:lblAlgn val="ctr"/>
        <c:lblOffset val="100"/>
        <c:noMultiLvlLbl val="0"/>
      </c:catAx>
      <c:valAx>
        <c:axId val="329632768"/>
        <c:scaling>
          <c:orientation val="minMax"/>
        </c:scaling>
        <c:delete val="1"/>
        <c:axPos val="l"/>
        <c:majorGridlines>
          <c:spPr>
            <a:ln w="9519" cap="flat" cmpd="sng" algn="ctr">
              <a:solidFill>
                <a:schemeClr val="tx1">
                  <a:lumMod val="15000"/>
                  <a:lumOff val="85000"/>
                </a:schemeClr>
              </a:solidFill>
              <a:round/>
            </a:ln>
            <a:effectLst/>
          </c:spPr>
        </c:majorGridlines>
        <c:numFmt formatCode="General" sourceLinked="1"/>
        <c:majorTickMark val="out"/>
        <c:minorTickMark val="none"/>
        <c:tickLblPos val="nextTo"/>
        <c:crossAx val="329631232"/>
        <c:crosses val="autoZero"/>
        <c:crossBetween val="between"/>
      </c:valAx>
      <c:spPr>
        <a:noFill/>
        <a:ln w="25384">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spPr>
              <a:noFill/>
              <a:ln w="25384">
                <a:noFill/>
              </a:ln>
            </c:spPr>
            <c:txPr>
              <a:bodyPr/>
              <a:lstStyle/>
              <a:p>
                <a:pPr>
                  <a:defRPr sz="899">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General</c:formatCode>
                <c:ptCount val="5"/>
                <c:pt idx="0">
                  <c:v>42</c:v>
                </c:pt>
                <c:pt idx="1">
                  <c:v>37</c:v>
                </c:pt>
                <c:pt idx="2">
                  <c:v>36</c:v>
                </c:pt>
                <c:pt idx="3">
                  <c:v>27</c:v>
                </c:pt>
                <c:pt idx="4">
                  <c:v>24</c:v>
                </c:pt>
              </c:numCache>
            </c:numRef>
          </c:val>
          <c:smooth val="0"/>
          <c:extLst xmlns:c16r2="http://schemas.microsoft.com/office/drawing/2015/06/chart">
            <c:ext xmlns:c16="http://schemas.microsoft.com/office/drawing/2014/chart" uri="{C3380CC4-5D6E-409C-BE32-E72D297353CC}">
              <c16:uniqueId val="{00000000-91F2-4F84-98B0-56167B08A6FE}"/>
            </c:ext>
          </c:extLst>
        </c:ser>
        <c:dLbls>
          <c:showLegendKey val="0"/>
          <c:showVal val="0"/>
          <c:showCatName val="0"/>
          <c:showSerName val="0"/>
          <c:showPercent val="0"/>
          <c:showBubbleSize val="0"/>
        </c:dLbls>
        <c:marker val="1"/>
        <c:smooth val="0"/>
        <c:axId val="329702784"/>
        <c:axId val="329716864"/>
      </c:lineChart>
      <c:catAx>
        <c:axId val="329702784"/>
        <c:scaling>
          <c:orientation val="minMax"/>
        </c:scaling>
        <c:delete val="0"/>
        <c:axPos val="b"/>
        <c:numFmt formatCode="General" sourceLinked="1"/>
        <c:majorTickMark val="none"/>
        <c:minorTickMark val="none"/>
        <c:tickLblPos val="nextTo"/>
        <c:spPr>
          <a:noFill/>
          <a:ln w="12692"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29716864"/>
        <c:crosses val="autoZero"/>
        <c:auto val="1"/>
        <c:lblAlgn val="ctr"/>
        <c:lblOffset val="100"/>
        <c:noMultiLvlLbl val="0"/>
      </c:catAx>
      <c:valAx>
        <c:axId val="329716864"/>
        <c:scaling>
          <c:orientation val="minMax"/>
        </c:scaling>
        <c:delete val="1"/>
        <c:axPos val="l"/>
        <c:majorGridlines>
          <c:spPr>
            <a:ln w="9519" cap="flat" cmpd="sng" algn="ctr">
              <a:solidFill>
                <a:schemeClr val="tx1">
                  <a:lumMod val="15000"/>
                  <a:lumOff val="85000"/>
                </a:schemeClr>
              </a:solidFill>
              <a:round/>
            </a:ln>
            <a:effectLst/>
          </c:spPr>
        </c:majorGridlines>
        <c:numFmt formatCode="General" sourceLinked="1"/>
        <c:majorTickMark val="out"/>
        <c:minorTickMark val="none"/>
        <c:tickLblPos val="nextTo"/>
        <c:crossAx val="329702784"/>
        <c:crosses val="autoZero"/>
        <c:crossBetween val="between"/>
      </c:valAx>
      <c:spPr>
        <a:noFill/>
        <a:ln w="25384">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Arial" panose="020B0604020202020204" pitchFamily="34" charset="0"/>
                <a:cs typeface="Arial" panose="020B0604020202020204" pitchFamily="34" charset="0"/>
              </a:defRPr>
            </a:pPr>
            <a:r>
              <a:rPr lang="en-US" sz="1100" b="0" i="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8 EU Pilot files opened against </a:t>
            </a:r>
            <a:r>
              <a:rPr lang="en-US" sz="1100" b="0" i="0" u="none" strike="noStrike" kern="120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Slovenia</a:t>
            </a:r>
            <a:endParaRPr lang="en-GB" sz="1100">
              <a:solidFill>
                <a:srgbClr val="002060"/>
              </a:solidFill>
              <a:effectLst/>
              <a:latin typeface="Arial" panose="020B0604020202020204" pitchFamily="34" charset="0"/>
              <a:ea typeface="Verdana" panose="020B0604030504040204" pitchFamily="34" charset="0"/>
              <a:cs typeface="Arial" panose="020B0604020202020204" pitchFamily="34" charset="0"/>
            </a:endParaRPr>
          </a:p>
        </c:rich>
      </c:tx>
      <c:overlay val="0"/>
    </c:title>
    <c:autoTitleDeleted val="0"/>
    <c:plotArea>
      <c:layout/>
      <c:pieChart>
        <c:varyColors val="1"/>
        <c:ser>
          <c:idx val="0"/>
          <c:order val="0"/>
          <c:tx>
            <c:strRef>
              <c:f>Blad1!$B$1</c:f>
              <c:strCache>
                <c:ptCount val="1"/>
                <c:pt idx="0">
                  <c:v>[Number of new EU Pilot files ] EU Pilot files opened against [Member State]</c:v>
                </c:pt>
              </c:strCache>
            </c:strRef>
          </c:tx>
          <c:spPr>
            <a:scene3d>
              <a:camera prst="orthographicFront"/>
              <a:lightRig rig="threePt" dir="t"/>
            </a:scene3d>
            <a:sp3d>
              <a:bevelT w="63500" h="25400"/>
            </a:sp3d>
          </c:spPr>
          <c:dPt>
            <c:idx val="0"/>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A82C-4F90-AAE4-F5E44E63ACD6}"/>
              </c:ext>
            </c:extLst>
          </c:dPt>
          <c:dPt>
            <c:idx val="1"/>
            <c:bubble3D val="0"/>
            <c:spPr>
              <a:solidFill>
                <a:srgbClr val="E7511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A82C-4F90-AAE4-F5E44E63ACD6}"/>
              </c:ext>
            </c:extLst>
          </c:dPt>
          <c:dPt>
            <c:idx val="2"/>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A82C-4F90-AAE4-F5E44E63ACD6}"/>
              </c:ext>
            </c:extLst>
          </c:dPt>
          <c:dPt>
            <c:idx val="3"/>
            <c:bubble3D val="0"/>
            <c:spPr>
              <a:solidFill>
                <a:srgbClr val="37ACDE"/>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A82C-4F90-AAE4-F5E44E63ACD6}"/>
              </c:ext>
            </c:extLst>
          </c:dPt>
          <c:dPt>
            <c:idx val="4"/>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A82C-4F90-AAE4-F5E44E63ACD6}"/>
              </c:ext>
            </c:extLst>
          </c:dPt>
          <c:dLbls>
            <c:dLbl>
              <c:idx val="0"/>
              <c:layout>
                <c:manualLayout>
                  <c:x val="-6.5535476098274606E-2"/>
                  <c:y val="-0.3740939914056484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A82C-4F90-AAE4-F5E44E63ACD6}"/>
                </c:ext>
              </c:extLst>
            </c:dLbl>
            <c:dLbl>
              <c:idx val="1"/>
              <c:layout>
                <c:manualLayout>
                  <c:x val="-0.11739770233638828"/>
                  <c:y val="6.1183420684401829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A82C-4F90-AAE4-F5E44E63ACD6}"/>
                </c:ext>
              </c:extLst>
            </c:dLbl>
            <c:dLbl>
              <c:idx val="2"/>
              <c:layout>
                <c:manualLayout>
                  <c:x val="-1.6937739339959554E-2"/>
                  <c:y val="6.5129950238869985E-2"/>
                </c:manualLayout>
              </c:layout>
              <c:tx>
                <c:rich>
                  <a:bodyPr/>
                  <a:lstStyle/>
                  <a:p>
                    <a:pPr>
                      <a:defRPr sz="820" baseline="0">
                        <a:latin typeface="Arial" panose="020B0604020202020204" pitchFamily="34" charset="0"/>
                        <a:ea typeface="Verdana" panose="020B0604030504040204" pitchFamily="34" charset="0"/>
                        <a:cs typeface="Arial" panose="020B0604020202020204" pitchFamily="34" charset="0"/>
                      </a:defRPr>
                    </a:pPr>
                    <a:r>
                      <a:rPr lang="en-US" sz="820" baseline="0"/>
                      <a:t>Internal market, industry, entrepreneurship and SMEs
1</a:t>
                    </a:r>
                  </a:p>
                </c:rich>
              </c:tx>
              <c:spPr>
                <a:noFill/>
                <a:ln w="25390">
                  <a:noFill/>
                </a:ln>
              </c:sp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A82C-4F90-AAE4-F5E44E63ACD6}"/>
                </c:ext>
              </c:extLst>
            </c:dLbl>
            <c:dLbl>
              <c:idx val="3"/>
              <c:layout>
                <c:manualLayout>
                  <c:x val="-8.5426616754872859E-3"/>
                  <c:y val="7.405466272551893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A82C-4F90-AAE4-F5E44E63ACD6}"/>
                </c:ext>
              </c:extLst>
            </c:dLbl>
            <c:spPr>
              <a:noFill/>
              <a:ln w="25390">
                <a:noFill/>
              </a:ln>
            </c:spPr>
            <c:txPr>
              <a:bodyPr/>
              <a:lstStyle/>
              <a:p>
                <a:pPr>
                  <a:defRPr sz="900" baseline="0">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Blad1!$A$3:$A$6</c:f>
              <c:strCache>
                <c:ptCount val="4"/>
                <c:pt idx="0">
                  <c:v>Environment</c:v>
                </c:pt>
                <c:pt idx="1">
                  <c:v>Energy</c:v>
                </c:pt>
                <c:pt idx="2">
                  <c:v>Internal market, industry, entrepreneurship and SMEs</c:v>
                </c:pt>
                <c:pt idx="3">
                  <c:v>Climate action</c:v>
                </c:pt>
              </c:strCache>
            </c:strRef>
          </c:cat>
          <c:val>
            <c:numRef>
              <c:f>Blad1!$B$3:$B$6</c:f>
              <c:numCache>
                <c:formatCode>General</c:formatCode>
                <c:ptCount val="4"/>
                <c:pt idx="0">
                  <c:v>4</c:v>
                </c:pt>
                <c:pt idx="1">
                  <c:v>2</c:v>
                </c:pt>
                <c:pt idx="2">
                  <c:v>1</c:v>
                </c:pt>
                <c:pt idx="3">
                  <c:v>1</c:v>
                </c:pt>
              </c:numCache>
            </c:numRef>
          </c:val>
          <c:extLst xmlns:c16r2="http://schemas.microsoft.com/office/drawing/2015/06/chart">
            <c:ext xmlns:c16="http://schemas.microsoft.com/office/drawing/2014/chart" uri="{C3380CC4-5D6E-409C-BE32-E72D297353CC}">
              <c16:uniqueId val="{0000000A-A82C-4F90-AAE4-F5E44E63ACD6}"/>
            </c:ext>
          </c:extLst>
        </c:ser>
        <c:dLbls>
          <c:showLegendKey val="0"/>
          <c:showVal val="0"/>
          <c:showCatName val="0"/>
          <c:showSerName val="0"/>
          <c:showPercent val="0"/>
          <c:showBubbleSize val="0"/>
          <c:showLeaderLines val="0"/>
        </c:dLbls>
        <c:firstSliceAng val="126"/>
      </c:pieChart>
      <c:spPr>
        <a:noFill/>
        <a:ln w="25390">
          <a:noFill/>
        </a:ln>
      </c:spPr>
    </c:plotArea>
    <c:plotVisOnly val="1"/>
    <c:dispBlanksAs val="gap"/>
    <c:showDLblsOverMax val="0"/>
  </c:chart>
  <c:spPr>
    <a:solidFill>
      <a:schemeClr val="bg1"/>
    </a:solidFill>
    <a:ln w="952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321801344599367E-2"/>
          <c:y val="5.1769147668422638E-2"/>
          <c:w val="0.93909191583610185"/>
          <c:h val="0.7336036076227016"/>
        </c:manualLayout>
      </c:layout>
      <c:lineChart>
        <c:grouping val="standard"/>
        <c:varyColors val="0"/>
        <c:ser>
          <c:idx val="0"/>
          <c:order val="0"/>
          <c:tx>
            <c:strRef>
              <c:f>Blad1!$B$2</c:f>
              <c:strCache>
                <c:ptCount val="1"/>
                <c:pt idx="0">
                  <c:v>Slovenia</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6.1068311228538293E-2"/>
                  <c:y val="6.370108481482307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8B27-499C-9093-A6439D2A13C4}"/>
                </c:ext>
              </c:extLst>
            </c:dLbl>
            <c:dLbl>
              <c:idx val="1"/>
              <c:layout>
                <c:manualLayout>
                  <c:x val="-5.5544074432556392E-2"/>
                  <c:y val="-4.499527856468366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8B27-499C-9093-A6439D2A13C4}"/>
                </c:ext>
              </c:extLst>
            </c:dLbl>
            <c:dLbl>
              <c:idx val="2"/>
              <c:layout>
                <c:manualLayout>
                  <c:x val="-5.1786913263749006E-2"/>
                  <c:y val="-4.247470128556876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8B27-499C-9093-A6439D2A13C4}"/>
                </c:ext>
              </c:extLst>
            </c:dLbl>
            <c:dLbl>
              <c:idx val="3"/>
              <c:layout>
                <c:manualLayout>
                  <c:x val="-4.8189830837757575E-2"/>
                  <c:y val="-5.990511737262696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8B27-499C-9093-A6439D2A13C4}"/>
                </c:ext>
              </c:extLst>
            </c:dLbl>
            <c:dLbl>
              <c:idx val="4"/>
              <c:layout>
                <c:manualLayout>
                  <c:x val="-5.5544074432556392E-2"/>
                  <c:y val="4.471199244570349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8B27-499C-9093-A6439D2A13C4}"/>
                </c:ext>
              </c:extLst>
            </c:dLbl>
            <c:spPr>
              <a:noFill/>
              <a:ln w="25366">
                <a:noFill/>
              </a:ln>
            </c:spPr>
            <c:txPr>
              <a:bodyPr/>
              <a:lstStyle/>
              <a:p>
                <a:pPr>
                  <a:defRPr sz="899">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2013</c:v>
                </c:pt>
                <c:pt idx="1">
                  <c:v>2014</c:v>
                </c:pt>
                <c:pt idx="2">
                  <c:v>2015</c:v>
                </c:pt>
                <c:pt idx="3">
                  <c:v>2016</c:v>
                </c:pt>
                <c:pt idx="4">
                  <c:v>2017</c:v>
                </c:pt>
              </c:numCache>
            </c:numRef>
          </c:cat>
          <c:val>
            <c:numRef>
              <c:f>Blad1!$B$3:$B$7</c:f>
              <c:numCache>
                <c:formatCode>0%</c:formatCode>
                <c:ptCount val="5"/>
                <c:pt idx="0">
                  <c:v>0.82</c:v>
                </c:pt>
                <c:pt idx="1">
                  <c:v>0.81</c:v>
                </c:pt>
                <c:pt idx="2">
                  <c:v>0.85</c:v>
                </c:pt>
                <c:pt idx="3">
                  <c:v>0.71</c:v>
                </c:pt>
                <c:pt idx="4">
                  <c:v>0.45</c:v>
                </c:pt>
              </c:numCache>
            </c:numRef>
          </c:val>
          <c:smooth val="0"/>
          <c:extLst xmlns:c16r2="http://schemas.microsoft.com/office/drawing/2015/06/chart">
            <c:ext xmlns:c16="http://schemas.microsoft.com/office/drawing/2014/chart" uri="{C3380CC4-5D6E-409C-BE32-E72D297353CC}">
              <c16:uniqueId val="{00000005-8B27-499C-9093-A6439D2A13C4}"/>
            </c:ext>
          </c:extLst>
        </c:ser>
        <c:ser>
          <c:idx val="1"/>
          <c:order val="1"/>
          <c:tx>
            <c:strRef>
              <c:f>Blad1!$C$2</c:f>
              <c:strCache>
                <c:ptCount val="1"/>
                <c:pt idx="0">
                  <c:v>General rate for all Member States</c:v>
                </c:pt>
              </c:strCache>
            </c:strRef>
          </c:tx>
          <c:spPr>
            <a:ln w="25366">
              <a:solidFill>
                <a:srgbClr val="92D050"/>
              </a:solidFill>
            </a:ln>
          </c:spPr>
          <c:marker>
            <c:symbol val="square"/>
            <c:size val="4"/>
            <c:spPr>
              <a:solidFill>
                <a:srgbClr val="92D050"/>
              </a:solidFill>
              <a:ln>
                <a:solidFill>
                  <a:srgbClr val="92D050"/>
                </a:solidFill>
              </a:ln>
            </c:spPr>
          </c:marker>
          <c:dLbls>
            <c:spPr>
              <a:noFill/>
              <a:ln w="25366">
                <a:noFill/>
              </a:ln>
            </c:spPr>
            <c:txPr>
              <a:bodyPr/>
              <a:lstStyle/>
              <a:p>
                <a:pPr>
                  <a:defRPr sz="899">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2013</c:v>
                </c:pt>
                <c:pt idx="1">
                  <c:v>2014</c:v>
                </c:pt>
                <c:pt idx="2">
                  <c:v>2015</c:v>
                </c:pt>
                <c:pt idx="3">
                  <c:v>2016</c:v>
                </c:pt>
                <c:pt idx="4">
                  <c:v>2017</c:v>
                </c:pt>
              </c:numCache>
            </c:numRef>
          </c:cat>
          <c:val>
            <c:numRef>
              <c:f>Blad1!$C$3:$C$7</c:f>
              <c:numCache>
                <c:formatCode>0%</c:formatCode>
                <c:ptCount val="5"/>
                <c:pt idx="0">
                  <c:v>0.7</c:v>
                </c:pt>
                <c:pt idx="1">
                  <c:v>0.75</c:v>
                </c:pt>
                <c:pt idx="2">
                  <c:v>0.75</c:v>
                </c:pt>
                <c:pt idx="3">
                  <c:v>0.72</c:v>
                </c:pt>
                <c:pt idx="4">
                  <c:v>0.77</c:v>
                </c:pt>
              </c:numCache>
            </c:numRef>
          </c:val>
          <c:smooth val="0"/>
          <c:extLst xmlns:c16r2="http://schemas.microsoft.com/office/drawing/2015/06/chart">
            <c:ext xmlns:c16="http://schemas.microsoft.com/office/drawing/2014/chart" uri="{C3380CC4-5D6E-409C-BE32-E72D297353CC}">
              <c16:uniqueId val="{00000007-8B27-499C-9093-A6439D2A13C4}"/>
            </c:ext>
          </c:extLst>
        </c:ser>
        <c:dLbls>
          <c:showLegendKey val="0"/>
          <c:showVal val="0"/>
          <c:showCatName val="0"/>
          <c:showSerName val="0"/>
          <c:showPercent val="0"/>
          <c:showBubbleSize val="0"/>
        </c:dLbls>
        <c:marker val="1"/>
        <c:smooth val="0"/>
        <c:axId val="329864320"/>
        <c:axId val="329865856"/>
      </c:lineChart>
      <c:catAx>
        <c:axId val="329864320"/>
        <c:scaling>
          <c:orientation val="minMax"/>
        </c:scaling>
        <c:delete val="0"/>
        <c:axPos val="b"/>
        <c:numFmt formatCode="General" sourceLinked="1"/>
        <c:majorTickMark val="none"/>
        <c:minorTickMark val="none"/>
        <c:tickLblPos val="nextTo"/>
        <c:spPr>
          <a:noFill/>
          <a:ln w="12683"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29865856"/>
        <c:crosses val="autoZero"/>
        <c:auto val="1"/>
        <c:lblAlgn val="ctr"/>
        <c:lblOffset val="100"/>
        <c:noMultiLvlLbl val="0"/>
      </c:catAx>
      <c:valAx>
        <c:axId val="329865856"/>
        <c:scaling>
          <c:orientation val="minMax"/>
        </c:scaling>
        <c:delete val="1"/>
        <c:axPos val="l"/>
        <c:majorGridlines>
          <c:spPr>
            <a:ln w="9512" cap="flat" cmpd="sng" algn="ctr">
              <a:solidFill>
                <a:schemeClr val="tx1">
                  <a:lumMod val="15000"/>
                  <a:lumOff val="85000"/>
                </a:schemeClr>
              </a:solidFill>
              <a:round/>
            </a:ln>
            <a:effectLst/>
          </c:spPr>
        </c:majorGridlines>
        <c:numFmt formatCode="0%" sourceLinked="1"/>
        <c:majorTickMark val="out"/>
        <c:minorTickMark val="none"/>
        <c:tickLblPos val="nextTo"/>
        <c:crossAx val="329864320"/>
        <c:crosses val="autoZero"/>
        <c:crossBetween val="between"/>
      </c:valAx>
      <c:spPr>
        <a:noFill/>
        <a:ln w="25366">
          <a:noFill/>
        </a:ln>
      </c:spPr>
    </c:plotArea>
    <c:legend>
      <c:legendPos val="b"/>
      <c:overlay val="0"/>
      <c:txPr>
        <a:bodyPr/>
        <a:lstStyle/>
        <a:p>
          <a:pPr>
            <a:defRPr sz="899">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12"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Lbls>
            <c:spPr>
              <a:noFill/>
              <a:ln w="25396">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Blad1!$A$4:$A$8</c:f>
              <c:numCache>
                <c:formatCode>General</c:formatCode>
                <c:ptCount val="5"/>
                <c:pt idx="0">
                  <c:v>2013</c:v>
                </c:pt>
                <c:pt idx="1">
                  <c:v>2014</c:v>
                </c:pt>
                <c:pt idx="2">
                  <c:v>2015</c:v>
                </c:pt>
                <c:pt idx="3">
                  <c:v>2016</c:v>
                </c:pt>
                <c:pt idx="4">
                  <c:v>2017</c:v>
                </c:pt>
              </c:numCache>
            </c:numRef>
          </c:cat>
          <c:val>
            <c:numRef>
              <c:f>Blad1!$B$4:$B$8</c:f>
              <c:numCache>
                <c:formatCode>General</c:formatCode>
                <c:ptCount val="5"/>
                <c:pt idx="0">
                  <c:v>47</c:v>
                </c:pt>
                <c:pt idx="1">
                  <c:v>47</c:v>
                </c:pt>
                <c:pt idx="2">
                  <c:v>47</c:v>
                </c:pt>
                <c:pt idx="3">
                  <c:v>53</c:v>
                </c:pt>
                <c:pt idx="4">
                  <c:v>51</c:v>
                </c:pt>
              </c:numCache>
            </c:numRef>
          </c:val>
          <c:smooth val="0"/>
          <c:extLst xmlns:c16r2="http://schemas.microsoft.com/office/drawing/2015/06/chart">
            <c:ext xmlns:c16="http://schemas.microsoft.com/office/drawing/2014/chart" uri="{C3380CC4-5D6E-409C-BE32-E72D297353CC}">
              <c16:uniqueId val="{00000004-F2D0-4A57-AD9B-84D4261A2F4B}"/>
            </c:ext>
          </c:extLst>
        </c:ser>
        <c:dLbls>
          <c:showLegendKey val="0"/>
          <c:showVal val="0"/>
          <c:showCatName val="0"/>
          <c:showSerName val="0"/>
          <c:showPercent val="0"/>
          <c:showBubbleSize val="0"/>
        </c:dLbls>
        <c:marker val="1"/>
        <c:smooth val="0"/>
        <c:axId val="329895296"/>
        <c:axId val="329901184"/>
      </c:lineChart>
      <c:catAx>
        <c:axId val="329895296"/>
        <c:scaling>
          <c:orientation val="minMax"/>
        </c:scaling>
        <c:delete val="0"/>
        <c:axPos val="b"/>
        <c:numFmt formatCode="General" sourceLinked="1"/>
        <c:majorTickMark val="none"/>
        <c:minorTickMark val="none"/>
        <c:tickLblPos val="nextTo"/>
        <c:spPr>
          <a:noFill/>
          <a:ln w="12698"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29901184"/>
        <c:crosses val="autoZero"/>
        <c:auto val="1"/>
        <c:lblAlgn val="ctr"/>
        <c:lblOffset val="100"/>
        <c:noMultiLvlLbl val="0"/>
      </c:catAx>
      <c:valAx>
        <c:axId val="329901184"/>
        <c:scaling>
          <c:orientation val="minMax"/>
          <c:min val="25"/>
        </c:scaling>
        <c:delete val="1"/>
        <c:axPos val="l"/>
        <c:majorGridlines>
          <c:spPr>
            <a:ln w="9524" cap="flat" cmpd="sng" algn="ctr">
              <a:solidFill>
                <a:schemeClr val="tx1">
                  <a:lumMod val="15000"/>
                  <a:lumOff val="85000"/>
                </a:schemeClr>
              </a:solidFill>
              <a:round/>
            </a:ln>
            <a:effectLst/>
          </c:spPr>
        </c:majorGridlines>
        <c:numFmt formatCode="General" sourceLinked="1"/>
        <c:majorTickMark val="out"/>
        <c:minorTickMark val="none"/>
        <c:tickLblPos val="nextTo"/>
        <c:crossAx val="329895296"/>
        <c:crosses val="autoZero"/>
        <c:crossBetween val="between"/>
      </c:valAx>
      <c:spPr>
        <a:noFill/>
        <a:ln w="25396">
          <a:noFill/>
        </a:ln>
      </c:spPr>
    </c:plotArea>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8"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US" sz="1098" b="0" baseline="0">
                <a:solidFill>
                  <a:srgbClr val="002060"/>
                </a:solidFill>
                <a:latin typeface="Arial" panose="020B0604020202020204" pitchFamily="34" charset="0"/>
                <a:ea typeface="Verdana" panose="020B0604030504040204" pitchFamily="34" charset="0"/>
                <a:cs typeface="Arial" panose="020B0604020202020204" pitchFamily="34" charset="0"/>
              </a:rPr>
              <a:t>29 new </a:t>
            </a:r>
            <a:r>
              <a:rPr lang="en-US" sz="1098"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against</a:t>
            </a:r>
            <a:r>
              <a:rPr lang="en-US" sz="1098" b="0" baseline="0">
                <a:solidFill>
                  <a:srgbClr val="002060"/>
                </a:solidFill>
                <a:latin typeface="Arial" panose="020B0604020202020204" pitchFamily="34" charset="0"/>
                <a:ea typeface="Verdana" panose="020B0604030504040204" pitchFamily="34" charset="0"/>
                <a:cs typeface="Arial" panose="020B0604020202020204" pitchFamily="34" charset="0"/>
              </a:rPr>
              <a:t> </a:t>
            </a:r>
            <a:r>
              <a:rPr lang="en-US" sz="1098"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Slovenia</a:t>
            </a:r>
            <a:endParaRPr lang="en-US"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6218115768277933"/>
          <c:y val="3.2786849513805512E-2"/>
        </c:manualLayout>
      </c:layout>
      <c:overlay val="0"/>
      <c:spPr>
        <a:noFill/>
        <a:ln w="25345">
          <a:noFill/>
        </a:ln>
      </c:spPr>
    </c:title>
    <c:autoTitleDeleted val="0"/>
    <c:plotArea>
      <c:layout/>
      <c:pieChart>
        <c:varyColors val="1"/>
        <c:ser>
          <c:idx val="0"/>
          <c:order val="0"/>
          <c:tx>
            <c:strRef>
              <c:f>Blad1!$B$1</c:f>
              <c:strCache>
                <c:ptCount val="1"/>
                <c:pt idx="0">
                  <c:v>[Number of infringement cases] infringement cases against Austria</c:v>
                </c:pt>
              </c:strCache>
            </c:strRef>
          </c:tx>
          <c:spPr>
            <a:scene3d>
              <a:camera prst="orthographicFront"/>
              <a:lightRig rig="threePt" dir="t"/>
            </a:scene3d>
            <a:sp3d>
              <a:bevelT w="63500" h="25400"/>
            </a:sp3d>
          </c:spPr>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A218-4739-9163-86EC8E2FAD45}"/>
              </c:ext>
            </c:extLst>
          </c:dPt>
          <c:dPt>
            <c:idx val="1"/>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A218-4739-9163-86EC8E2FAD45}"/>
              </c:ext>
            </c:extLst>
          </c:dPt>
          <c:dPt>
            <c:idx val="2"/>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A218-4739-9163-86EC8E2FAD45}"/>
              </c:ext>
            </c:extLst>
          </c:dPt>
          <c:dPt>
            <c:idx val="3"/>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A218-4739-9163-86EC8E2FAD45}"/>
              </c:ext>
            </c:extLst>
          </c:dPt>
          <c:dPt>
            <c:idx val="4"/>
            <c:bubble3D val="0"/>
            <c:spPr>
              <a:solidFill>
                <a:srgbClr val="A65CDE"/>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A218-4739-9163-86EC8E2FAD45}"/>
              </c:ext>
            </c:extLst>
          </c:dPt>
          <c:dPt>
            <c:idx val="5"/>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A218-4739-9163-86EC8E2FAD45}"/>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218-4739-9163-86EC8E2FAD45}"/>
                </c:ext>
              </c:extLst>
            </c:dLbl>
            <c:dLbl>
              <c:idx val="1"/>
              <c:layout>
                <c:manualLayout>
                  <c:x val="-0.10256311220276904"/>
                  <c:y val="-9.1566151746107896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A218-4739-9163-86EC8E2FAD45}"/>
                </c:ext>
              </c:extLst>
            </c:dLbl>
            <c:dLbl>
              <c:idx val="2"/>
              <c:layout>
                <c:manualLayout>
                  <c:x val="-7.3590678893701258E-2"/>
                  <c:y val="9.3144737171350939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A218-4739-9163-86EC8E2FAD45}"/>
                </c:ext>
              </c:extLst>
            </c:dLbl>
            <c:dLbl>
              <c:idx val="3"/>
              <c:layout>
                <c:manualLayout>
                  <c:x val="-3.2140913977792576E-2"/>
                  <c:y val="8.4269649677023925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A218-4739-9163-86EC8E2FAD45}"/>
                </c:ext>
              </c:extLst>
            </c:dLbl>
            <c:dLbl>
              <c:idx val="4"/>
              <c:layout>
                <c:manualLayout>
                  <c:x val="2.7676234967154247E-3"/>
                  <c:y val="0.13697712323838238"/>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A218-4739-9163-86EC8E2FAD45}"/>
                </c:ext>
              </c:extLst>
            </c:dLbl>
            <c:dLbl>
              <c:idx val="5"/>
              <c:layout>
                <c:manualLayout>
                  <c:x val="-1.1111082015749901E-2"/>
                  <c:y val="4.9808921704061281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A218-4739-9163-86EC8E2FAD45}"/>
                </c:ext>
              </c:extLst>
            </c:dLbl>
            <c:spPr>
              <a:noFill/>
              <a:ln w="25345">
                <a:noFill/>
              </a:ln>
            </c:spPr>
            <c:txPr>
              <a:bodyPr rot="0" spcFirstLastPara="1" vertOverflow="ellipsis" vert="horz" wrap="square" lIns="38100" tIns="19050" rIns="38100" bIns="19050" anchor="ctr" anchorCtr="1">
                <a:spAutoFit/>
              </a:bodyPr>
              <a:lstStyle/>
              <a:p>
                <a:pPr>
                  <a:defRPr sz="848"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Blad1!$A$2:$A$7</c:f>
              <c:strCache>
                <c:ptCount val="6"/>
                <c:pt idx="0">
                  <c:v>Policy Area</c:v>
                </c:pt>
                <c:pt idx="1">
                  <c:v>Mobility and transport</c:v>
                </c:pt>
                <c:pt idx="2">
                  <c:v>Environment</c:v>
                </c:pt>
                <c:pt idx="3">
                  <c:v>Financial stability, financial services and Capital Markets Union</c:v>
                </c:pt>
                <c:pt idx="4">
                  <c:v>Economic and financial affairs</c:v>
                </c:pt>
                <c:pt idx="5">
                  <c:v>Other</c:v>
                </c:pt>
              </c:strCache>
            </c:strRef>
          </c:cat>
          <c:val>
            <c:numRef>
              <c:f>Blad1!$B$2:$B$7</c:f>
              <c:numCache>
                <c:formatCode>General</c:formatCode>
                <c:ptCount val="6"/>
                <c:pt idx="0">
                  <c:v>0</c:v>
                </c:pt>
                <c:pt idx="1">
                  <c:v>7</c:v>
                </c:pt>
                <c:pt idx="2">
                  <c:v>11</c:v>
                </c:pt>
                <c:pt idx="3">
                  <c:v>4</c:v>
                </c:pt>
                <c:pt idx="4">
                  <c:v>2</c:v>
                </c:pt>
                <c:pt idx="5">
                  <c:v>5</c:v>
                </c:pt>
              </c:numCache>
            </c:numRef>
          </c:val>
          <c:extLst xmlns:c16r2="http://schemas.microsoft.com/office/drawing/2015/06/chart">
            <c:ext xmlns:c16="http://schemas.microsoft.com/office/drawing/2014/chart" uri="{C3380CC4-5D6E-409C-BE32-E72D297353CC}">
              <c16:uniqueId val="{0000000C-A218-4739-9163-86EC8E2FAD45}"/>
            </c:ext>
          </c:extLst>
        </c:ser>
        <c:ser>
          <c:idx val="1"/>
          <c:order val="1"/>
          <c:tx>
            <c:strRef>
              <c:f>Blad1!$C$1</c:f>
              <c:strCache>
                <c:ptCount val="1"/>
                <c:pt idx="0">
                  <c:v>Column1</c:v>
                </c:pt>
              </c:strCache>
            </c:strRef>
          </c:tx>
          <c:dPt>
            <c:idx val="0"/>
            <c:bubble3D val="0"/>
            <c:extLst xmlns:c16r2="http://schemas.microsoft.com/office/drawing/2015/06/chart">
              <c:ext xmlns:c16="http://schemas.microsoft.com/office/drawing/2014/chart" uri="{C3380CC4-5D6E-409C-BE32-E72D297353CC}">
                <c16:uniqueId val="{0000000D-A218-4739-9163-86EC8E2FAD45}"/>
              </c:ext>
            </c:extLst>
          </c:dPt>
          <c:dPt>
            <c:idx val="1"/>
            <c:bubble3D val="0"/>
            <c:extLst xmlns:c16r2="http://schemas.microsoft.com/office/drawing/2015/06/chart">
              <c:ext xmlns:c16="http://schemas.microsoft.com/office/drawing/2014/chart" uri="{C3380CC4-5D6E-409C-BE32-E72D297353CC}">
                <c16:uniqueId val="{0000000E-A218-4739-9163-86EC8E2FAD45}"/>
              </c:ext>
            </c:extLst>
          </c:dPt>
          <c:dPt>
            <c:idx val="2"/>
            <c:bubble3D val="0"/>
            <c:extLst xmlns:c16r2="http://schemas.microsoft.com/office/drawing/2015/06/chart">
              <c:ext xmlns:c16="http://schemas.microsoft.com/office/drawing/2014/chart" uri="{C3380CC4-5D6E-409C-BE32-E72D297353CC}">
                <c16:uniqueId val="{0000000F-A218-4739-9163-86EC8E2FAD45}"/>
              </c:ext>
            </c:extLst>
          </c:dPt>
          <c:dPt>
            <c:idx val="3"/>
            <c:bubble3D val="0"/>
            <c:extLst xmlns:c16r2="http://schemas.microsoft.com/office/drawing/2015/06/chart">
              <c:ext xmlns:c16="http://schemas.microsoft.com/office/drawing/2014/chart" uri="{C3380CC4-5D6E-409C-BE32-E72D297353CC}">
                <c16:uniqueId val="{00000010-A218-4739-9163-86EC8E2FAD45}"/>
              </c:ext>
            </c:extLst>
          </c:dPt>
          <c:dPt>
            <c:idx val="4"/>
            <c:bubble3D val="0"/>
            <c:extLst xmlns:c16r2="http://schemas.microsoft.com/office/drawing/2015/06/chart">
              <c:ext xmlns:c16="http://schemas.microsoft.com/office/drawing/2014/chart" uri="{C3380CC4-5D6E-409C-BE32-E72D297353CC}">
                <c16:uniqueId val="{00000011-A218-4739-9163-86EC8E2FAD45}"/>
              </c:ext>
            </c:extLst>
          </c:dPt>
          <c:dPt>
            <c:idx val="5"/>
            <c:bubble3D val="0"/>
            <c:extLst xmlns:c16r2="http://schemas.microsoft.com/office/drawing/2015/06/chart">
              <c:ext xmlns:c16="http://schemas.microsoft.com/office/drawing/2014/chart" uri="{C3380CC4-5D6E-409C-BE32-E72D297353CC}">
                <c16:uniqueId val="{00000012-A218-4739-9163-86EC8E2FAD45}"/>
              </c:ext>
            </c:extLst>
          </c:dPt>
          <c:dLbls>
            <c:spPr>
              <a:noFill/>
              <a:ln w="25345">
                <a:noFill/>
              </a:ln>
            </c:spPr>
            <c:showLegendKey val="0"/>
            <c:showVal val="0"/>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Blad1!$A$2:$A$7</c:f>
              <c:strCache>
                <c:ptCount val="6"/>
                <c:pt idx="0">
                  <c:v>Policy Area</c:v>
                </c:pt>
                <c:pt idx="1">
                  <c:v>Mobility and transport</c:v>
                </c:pt>
                <c:pt idx="2">
                  <c:v>Environment</c:v>
                </c:pt>
                <c:pt idx="3">
                  <c:v>Financial stability, financial services and Capital Markets Union</c:v>
                </c:pt>
                <c:pt idx="4">
                  <c:v>Economic and financial affairs</c:v>
                </c:pt>
                <c:pt idx="5">
                  <c:v>Other</c:v>
                </c:pt>
              </c:strCache>
            </c:strRef>
          </c:cat>
          <c:val>
            <c:numRef>
              <c:f>Blad1!$C$2:$C$7</c:f>
              <c:numCache>
                <c:formatCode>General</c:formatCode>
                <c:ptCount val="6"/>
              </c:numCache>
            </c:numRef>
          </c:val>
          <c:extLst xmlns:c16r2="http://schemas.microsoft.com/office/drawing/2015/06/chart">
            <c:ext xmlns:c16="http://schemas.microsoft.com/office/drawing/2014/chart" uri="{C3380CC4-5D6E-409C-BE32-E72D297353CC}">
              <c16:uniqueId val="{00000013-A218-4739-9163-86EC8E2FAD45}"/>
            </c:ext>
          </c:extLst>
        </c:ser>
        <c:dLbls>
          <c:showLegendKey val="0"/>
          <c:showVal val="0"/>
          <c:showCatName val="0"/>
          <c:showSerName val="0"/>
          <c:showPercent val="0"/>
          <c:showBubbleSize val="0"/>
          <c:showLeaderLines val="0"/>
        </c:dLbls>
        <c:firstSliceAng val="165"/>
      </c:pieChart>
      <c:spPr>
        <a:noFill/>
        <a:ln w="25345">
          <a:noFill/>
        </a:ln>
      </c:spPr>
    </c:plotArea>
    <c:plotVisOnly val="1"/>
    <c:dispBlanksAs val="gap"/>
    <c:showDLblsOverMax val="0"/>
  </c:chart>
  <c:spPr>
    <a:solidFill>
      <a:schemeClr val="bg1"/>
    </a:solidFill>
    <a:ln w="950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3.9531698638341349E-2"/>
                  <c:y val="7.826014197889692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555F-49FB-B98A-968FC10DAE8C}"/>
                </c:ext>
              </c:extLst>
            </c:dLbl>
            <c:spPr>
              <a:noFill/>
              <a:ln w="25411">
                <a:noFill/>
              </a:ln>
            </c:spPr>
            <c:txPr>
              <a:bodyPr rot="0" vert="horz"/>
              <a:lstStyle/>
              <a:p>
                <a:pPr>
                  <a:defRPr sz="90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Blad1!$A$2:$A$6</c:f>
              <c:numCache>
                <c:formatCode>General</c:formatCode>
                <c:ptCount val="5"/>
                <c:pt idx="0">
                  <c:v>2013</c:v>
                </c:pt>
                <c:pt idx="1">
                  <c:v>2014</c:v>
                </c:pt>
                <c:pt idx="2">
                  <c:v>2015</c:v>
                </c:pt>
                <c:pt idx="3">
                  <c:v>2016</c:v>
                </c:pt>
                <c:pt idx="4">
                  <c:v>2017</c:v>
                </c:pt>
              </c:numCache>
            </c:numRef>
          </c:cat>
          <c:val>
            <c:numRef>
              <c:f>Blad1!$B$2:$B$6</c:f>
              <c:numCache>
                <c:formatCode>General</c:formatCode>
                <c:ptCount val="5"/>
                <c:pt idx="0">
                  <c:v>26</c:v>
                </c:pt>
                <c:pt idx="1">
                  <c:v>26</c:v>
                </c:pt>
                <c:pt idx="2">
                  <c:v>30</c:v>
                </c:pt>
                <c:pt idx="3">
                  <c:v>36</c:v>
                </c:pt>
                <c:pt idx="4">
                  <c:v>33</c:v>
                </c:pt>
              </c:numCache>
            </c:numRef>
          </c:val>
          <c:smooth val="0"/>
          <c:extLst xmlns:c16r2="http://schemas.microsoft.com/office/drawing/2015/06/chart">
            <c:ext xmlns:c16="http://schemas.microsoft.com/office/drawing/2014/chart" uri="{C3380CC4-5D6E-409C-BE32-E72D297353CC}">
              <c16:uniqueId val="{00000001-555F-49FB-B98A-968FC10DAE8C}"/>
            </c:ext>
          </c:extLst>
        </c:ser>
        <c:dLbls>
          <c:showLegendKey val="0"/>
          <c:showVal val="0"/>
          <c:showCatName val="0"/>
          <c:showSerName val="0"/>
          <c:showPercent val="0"/>
          <c:showBubbleSize val="0"/>
        </c:dLbls>
        <c:marker val="1"/>
        <c:smooth val="0"/>
        <c:axId val="330240384"/>
        <c:axId val="330241920"/>
      </c:lineChart>
      <c:catAx>
        <c:axId val="330240384"/>
        <c:scaling>
          <c:orientation val="minMax"/>
        </c:scaling>
        <c:delete val="0"/>
        <c:axPos val="b"/>
        <c:numFmt formatCode="General" sourceLinked="1"/>
        <c:majorTickMark val="none"/>
        <c:minorTickMark val="none"/>
        <c:tickLblPos val="nextTo"/>
        <c:spPr>
          <a:noFill/>
          <a:ln w="12706" cap="flat" cmpd="sng" algn="ctr">
            <a:solidFill>
              <a:schemeClr val="tx1">
                <a:lumMod val="15000"/>
                <a:lumOff val="85000"/>
              </a:schemeClr>
            </a:solidFill>
            <a:round/>
          </a:ln>
          <a:effectLst/>
        </c:spPr>
        <c:txPr>
          <a:bodyPr rot="-60000000" vert="horz"/>
          <a:lstStyle/>
          <a:p>
            <a:pPr>
              <a:defRPr sz="900">
                <a:latin typeface="Arial" panose="020B0604020202020204" pitchFamily="34" charset="0"/>
                <a:cs typeface="Arial" panose="020B0604020202020204" pitchFamily="34" charset="0"/>
              </a:defRPr>
            </a:pPr>
            <a:endParaRPr lang="en-US"/>
          </a:p>
        </c:txPr>
        <c:crossAx val="330241920"/>
        <c:crosses val="autoZero"/>
        <c:auto val="1"/>
        <c:lblAlgn val="ctr"/>
        <c:lblOffset val="100"/>
        <c:noMultiLvlLbl val="0"/>
      </c:catAx>
      <c:valAx>
        <c:axId val="330241920"/>
        <c:scaling>
          <c:orientation val="minMax"/>
          <c:min val="10"/>
        </c:scaling>
        <c:delete val="1"/>
        <c:axPos val="l"/>
        <c:majorGridlines>
          <c:spPr>
            <a:ln w="9529" cap="flat" cmpd="sng" algn="ctr">
              <a:solidFill>
                <a:schemeClr val="tx1">
                  <a:lumMod val="15000"/>
                  <a:lumOff val="85000"/>
                </a:schemeClr>
              </a:solidFill>
              <a:round/>
            </a:ln>
            <a:effectLst/>
          </c:spPr>
        </c:majorGridlines>
        <c:numFmt formatCode="General" sourceLinked="1"/>
        <c:majorTickMark val="out"/>
        <c:minorTickMark val="none"/>
        <c:tickLblPos val="nextTo"/>
        <c:crossAx val="330240384"/>
        <c:crosses val="autoZero"/>
        <c:crossBetween val="between"/>
      </c:valAx>
      <c:spPr>
        <a:noFill/>
        <a:ln w="25411">
          <a:noFill/>
        </a:ln>
      </c:spPr>
    </c:plotArea>
    <c:plotVisOnly val="1"/>
    <c:dispBlanksAs val="gap"/>
    <c:showDLblsOverMax val="0"/>
  </c:chart>
  <c:spPr>
    <a:solidFill>
      <a:schemeClr val="bg1"/>
    </a:solidFill>
    <a:ln w="9529" cap="flat" cmpd="sng" algn="ctr">
      <a:solidFill>
        <a:schemeClr val="tx1">
          <a:lumMod val="15000"/>
          <a:lumOff val="85000"/>
        </a:schemeClr>
      </a:solidFill>
      <a:round/>
    </a:ln>
    <a:effectLst/>
  </c:spPr>
  <c:txPr>
    <a:bodyPr/>
    <a:lstStyle/>
    <a:p>
      <a:pPr>
        <a:defRPr>
          <a:solidFill>
            <a:srgbClr val="002060"/>
          </a:solidFill>
        </a:defRPr>
      </a:pPr>
      <a:endParaRPr lang="en-US"/>
    </a:p>
  </c:txPr>
  <c:externalData r:id="rId2">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4.2328119219996831E-2"/>
                  <c:y val="7.82601419788968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BB25-46E2-B5AF-60DCB3506DFB}"/>
                </c:ext>
              </c:extLst>
            </c:dLbl>
            <c:spPr>
              <a:noFill/>
              <a:ln w="25411">
                <a:noFill/>
              </a:ln>
            </c:spPr>
            <c:txPr>
              <a:bodyPr rot="0" vert="horz"/>
              <a:lstStyle/>
              <a:p>
                <a:pPr>
                  <a:defRPr sz="90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Blad1!$A$2:$A$6</c:f>
              <c:numCache>
                <c:formatCode>General</c:formatCode>
                <c:ptCount val="5"/>
                <c:pt idx="0">
                  <c:v>2013</c:v>
                </c:pt>
                <c:pt idx="1">
                  <c:v>2014</c:v>
                </c:pt>
                <c:pt idx="2">
                  <c:v>2015</c:v>
                </c:pt>
                <c:pt idx="3">
                  <c:v>2016</c:v>
                </c:pt>
                <c:pt idx="4">
                  <c:v>2017</c:v>
                </c:pt>
              </c:numCache>
            </c:numRef>
          </c:cat>
          <c:val>
            <c:numRef>
              <c:f>Blad1!$B$2:$B$6</c:f>
              <c:numCache>
                <c:formatCode>General</c:formatCode>
                <c:ptCount val="5"/>
                <c:pt idx="0">
                  <c:v>27</c:v>
                </c:pt>
                <c:pt idx="1">
                  <c:v>29</c:v>
                </c:pt>
                <c:pt idx="2">
                  <c:v>29</c:v>
                </c:pt>
                <c:pt idx="3">
                  <c:v>33</c:v>
                </c:pt>
                <c:pt idx="4">
                  <c:v>20</c:v>
                </c:pt>
              </c:numCache>
            </c:numRef>
          </c:val>
          <c:smooth val="0"/>
          <c:extLst xmlns:c16r2="http://schemas.microsoft.com/office/drawing/2015/06/chart">
            <c:ext xmlns:c16="http://schemas.microsoft.com/office/drawing/2014/chart" uri="{C3380CC4-5D6E-409C-BE32-E72D297353CC}">
              <c16:uniqueId val="{00000001-BB25-46E2-B5AF-60DCB3506DFB}"/>
            </c:ext>
          </c:extLst>
        </c:ser>
        <c:dLbls>
          <c:showLegendKey val="0"/>
          <c:showVal val="0"/>
          <c:showCatName val="0"/>
          <c:showSerName val="0"/>
          <c:showPercent val="0"/>
          <c:showBubbleSize val="0"/>
        </c:dLbls>
        <c:marker val="1"/>
        <c:smooth val="0"/>
        <c:axId val="330279552"/>
        <c:axId val="330281344"/>
      </c:lineChart>
      <c:catAx>
        <c:axId val="330279552"/>
        <c:scaling>
          <c:orientation val="minMax"/>
        </c:scaling>
        <c:delete val="0"/>
        <c:axPos val="b"/>
        <c:numFmt formatCode="General" sourceLinked="1"/>
        <c:majorTickMark val="none"/>
        <c:minorTickMark val="none"/>
        <c:tickLblPos val="nextTo"/>
        <c:spPr>
          <a:noFill/>
          <a:ln w="12706" cap="flat" cmpd="sng" algn="ctr">
            <a:solidFill>
              <a:schemeClr val="tx1">
                <a:lumMod val="15000"/>
                <a:lumOff val="85000"/>
              </a:schemeClr>
            </a:solidFill>
            <a:round/>
          </a:ln>
          <a:effectLst/>
        </c:spPr>
        <c:txPr>
          <a:bodyPr rot="-60000000" vert="horz"/>
          <a:lstStyle/>
          <a:p>
            <a:pPr>
              <a:defRPr sz="900">
                <a:latin typeface="Arial" panose="020B0604020202020204" pitchFamily="34" charset="0"/>
                <a:cs typeface="Arial" panose="020B0604020202020204" pitchFamily="34" charset="0"/>
              </a:defRPr>
            </a:pPr>
            <a:endParaRPr lang="en-US"/>
          </a:p>
        </c:txPr>
        <c:crossAx val="330281344"/>
        <c:crosses val="autoZero"/>
        <c:auto val="1"/>
        <c:lblAlgn val="ctr"/>
        <c:lblOffset val="100"/>
        <c:noMultiLvlLbl val="0"/>
      </c:catAx>
      <c:valAx>
        <c:axId val="330281344"/>
        <c:scaling>
          <c:orientation val="minMax"/>
          <c:min val="10"/>
        </c:scaling>
        <c:delete val="1"/>
        <c:axPos val="l"/>
        <c:majorGridlines>
          <c:spPr>
            <a:ln w="9529" cap="flat" cmpd="sng" algn="ctr">
              <a:solidFill>
                <a:schemeClr val="tx1">
                  <a:lumMod val="15000"/>
                  <a:lumOff val="85000"/>
                </a:schemeClr>
              </a:solidFill>
              <a:round/>
            </a:ln>
            <a:effectLst/>
          </c:spPr>
        </c:majorGridlines>
        <c:numFmt formatCode="General" sourceLinked="1"/>
        <c:majorTickMark val="out"/>
        <c:minorTickMark val="none"/>
        <c:tickLblPos val="nextTo"/>
        <c:crossAx val="330279552"/>
        <c:crosses val="autoZero"/>
        <c:crossBetween val="between"/>
      </c:valAx>
      <c:spPr>
        <a:noFill/>
        <a:ln w="25411">
          <a:noFill/>
        </a:ln>
      </c:spPr>
    </c:plotArea>
    <c:plotVisOnly val="1"/>
    <c:dispBlanksAs val="gap"/>
    <c:showDLblsOverMax val="0"/>
  </c:chart>
  <c:spPr>
    <a:solidFill>
      <a:schemeClr val="bg1"/>
    </a:solidFill>
    <a:ln w="9529" cap="flat" cmpd="sng" algn="ctr">
      <a:solidFill>
        <a:schemeClr val="tx1">
          <a:lumMod val="15000"/>
          <a:lumOff val="85000"/>
        </a:schemeClr>
      </a:solidFill>
      <a:round/>
    </a:ln>
    <a:effectLst/>
  </c:spPr>
  <c:txPr>
    <a:bodyPr/>
    <a:lstStyle/>
    <a:p>
      <a:pPr>
        <a:defRPr>
          <a:solidFill>
            <a:srgbClr val="002060"/>
          </a:solidFill>
        </a:defRPr>
      </a:pPr>
      <a:endParaRPr lang="en-US"/>
    </a:p>
  </c:txPr>
  <c:externalData r:id="rId2">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7"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nl-BE" sz="1097" b="0" baseline="0">
                <a:solidFill>
                  <a:srgbClr val="002060"/>
                </a:solidFill>
                <a:latin typeface="Arial" panose="020B0604020202020204" pitchFamily="34" charset="0"/>
                <a:ea typeface="Verdana" panose="020B0604030504040204" pitchFamily="34" charset="0"/>
                <a:cs typeface="Arial" panose="020B0604020202020204" pitchFamily="34" charset="0"/>
              </a:rPr>
              <a:t>20 new </a:t>
            </a:r>
            <a:r>
              <a:rPr lang="nl-BE" sz="1097" b="0">
                <a:solidFill>
                  <a:srgbClr val="002060"/>
                </a:solidFill>
                <a:latin typeface="Arial" panose="020B0604020202020204" pitchFamily="34" charset="0"/>
                <a:ea typeface="Verdana" panose="020B0604030504040204" pitchFamily="34" charset="0"/>
                <a:cs typeface="Arial" panose="020B0604020202020204" pitchFamily="34" charset="0"/>
              </a:rPr>
              <a:t>late transposition infringement cases against </a:t>
            </a:r>
            <a:r>
              <a:rPr lang="en-GB" sz="1097"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Slovenia</a:t>
            </a:r>
            <a:endParaRPr lang="nl-BE"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w="25340">
          <a:noFill/>
        </a:ln>
      </c:spPr>
    </c:title>
    <c:autoTitleDeleted val="0"/>
    <c:plotArea>
      <c:layout>
        <c:manualLayout>
          <c:layoutTarget val="inner"/>
          <c:xMode val="edge"/>
          <c:yMode val="edge"/>
          <c:x val="0.31614720034995625"/>
          <c:y val="0.26226409198850142"/>
          <c:w val="0.3723354111986002"/>
          <c:h val="0.6382892763404574"/>
        </c:manualLayout>
      </c:layout>
      <c:pieChart>
        <c:varyColors val="1"/>
        <c:ser>
          <c:idx val="0"/>
          <c:order val="0"/>
          <c:spPr>
            <a:scene3d>
              <a:camera prst="orthographicFront"/>
              <a:lightRig rig="threePt" dir="t"/>
            </a:scene3d>
            <a:sp3d>
              <a:bevelT w="63500" h="25400"/>
            </a:sp3d>
          </c:spPr>
          <c:dPt>
            <c:idx val="0"/>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5CF3-4FF3-A848-239257D078E6}"/>
              </c:ext>
            </c:extLst>
          </c:dPt>
          <c:dPt>
            <c:idx val="1"/>
            <c:bubble3D val="0"/>
            <c:spPr>
              <a:solidFill>
                <a:srgbClr val="FF7DF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5CF3-4FF3-A848-239257D078E6}"/>
              </c:ext>
            </c:extLst>
          </c:dPt>
          <c:dPt>
            <c:idx val="2"/>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5CF3-4FF3-A848-239257D078E6}"/>
              </c:ext>
            </c:extLst>
          </c:dPt>
          <c:dPt>
            <c:idx val="3"/>
            <c:bubble3D val="0"/>
            <c:spPr>
              <a:solidFill>
                <a:srgbClr val="00A676"/>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5CF3-4FF3-A848-239257D078E6}"/>
              </c:ext>
            </c:extLst>
          </c:dPt>
          <c:dPt>
            <c:idx val="4"/>
            <c:bubble3D val="0"/>
            <c:spPr>
              <a:solidFill>
                <a:srgbClr val="FF990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5CF3-4FF3-A848-239257D078E6}"/>
              </c:ext>
            </c:extLst>
          </c:dPt>
          <c:dPt>
            <c:idx val="5"/>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5CF3-4FF3-A848-239257D078E6}"/>
              </c:ext>
            </c:extLst>
          </c:dPt>
          <c:dLbls>
            <c:dLbl>
              <c:idx val="0"/>
              <c:layout>
                <c:manualLayout>
                  <c:x val="0.11351379042735937"/>
                  <c:y val="0.15686274509803921"/>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CF3-4FF3-A848-239257D078E6}"/>
                </c:ext>
              </c:extLst>
            </c:dLbl>
            <c:dLbl>
              <c:idx val="1"/>
              <c:layout>
                <c:manualLayout>
                  <c:x val="0"/>
                  <c:y val="3.4313725490196081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CF3-4FF3-A848-239257D078E6}"/>
                </c:ext>
              </c:extLst>
            </c:dLbl>
            <c:dLbl>
              <c:idx val="2"/>
              <c:layout>
                <c:manualLayout>
                  <c:x val="-1.9063968748092536E-2"/>
                  <c:y val="-6.709586833560699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5CF3-4FF3-A848-239257D078E6}"/>
                </c:ext>
              </c:extLst>
            </c:dLbl>
            <c:dLbl>
              <c:idx val="3"/>
              <c:layout>
                <c:manualLayout>
                  <c:x val="1.414750481771174E-2"/>
                  <c:y val="2.5989836376835874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5CF3-4FF3-A848-239257D078E6}"/>
                </c:ext>
              </c:extLst>
            </c:dLbl>
            <c:dLbl>
              <c:idx val="4"/>
              <c:layout>
                <c:manualLayout>
                  <c:x val="-5.2670015085323638E-2"/>
                  <c:y val="-4.4614635936465391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5CF3-4FF3-A848-239257D078E6}"/>
                </c:ext>
              </c:extLst>
            </c:dLbl>
            <c:dLbl>
              <c:idx val="5"/>
              <c:layout>
                <c:manualLayout>
                  <c:x val="8.5723441546550871E-2"/>
                  <c:y val="-0.12722478839081286"/>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5CF3-4FF3-A848-239257D078E6}"/>
                </c:ext>
              </c:extLst>
            </c:dLbl>
            <c:spPr>
              <a:noFill/>
              <a:ln w="25340">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Blad1!$A$4:$A$9</c:f>
              <c:strCache>
                <c:ptCount val="6"/>
                <c:pt idx="2">
                  <c:v>Financial stability, financial services and Capital Markets Union</c:v>
                </c:pt>
                <c:pt idx="3">
                  <c:v>Environment</c:v>
                </c:pt>
                <c:pt idx="4">
                  <c:v>Mobility and transport</c:v>
                </c:pt>
                <c:pt idx="5">
                  <c:v>Other</c:v>
                </c:pt>
              </c:strCache>
            </c:strRef>
          </c:cat>
          <c:val>
            <c:numRef>
              <c:f>Blad1!$B$4:$B$9</c:f>
              <c:numCache>
                <c:formatCode>General</c:formatCode>
                <c:ptCount val="6"/>
                <c:pt idx="2">
                  <c:v>4</c:v>
                </c:pt>
                <c:pt idx="3">
                  <c:v>5</c:v>
                </c:pt>
                <c:pt idx="4">
                  <c:v>6</c:v>
                </c:pt>
                <c:pt idx="5">
                  <c:v>5</c:v>
                </c:pt>
              </c:numCache>
            </c:numRef>
          </c:val>
          <c:extLst xmlns:c16r2="http://schemas.microsoft.com/office/drawing/2015/06/chart">
            <c:ext xmlns:c16="http://schemas.microsoft.com/office/drawing/2014/chart" uri="{C3380CC4-5D6E-409C-BE32-E72D297353CC}">
              <c16:uniqueId val="{0000000C-5CF3-4FF3-A848-239257D078E6}"/>
            </c:ext>
          </c:extLst>
        </c:ser>
        <c:dLbls>
          <c:showLegendKey val="0"/>
          <c:showVal val="0"/>
          <c:showCatName val="0"/>
          <c:showSerName val="0"/>
          <c:showPercent val="0"/>
          <c:showBubbleSize val="0"/>
          <c:showLeaderLines val="0"/>
        </c:dLbls>
        <c:firstSliceAng val="204"/>
      </c:pieChart>
      <c:spPr>
        <a:noFill/>
        <a:ln w="25340">
          <a:noFill/>
        </a:ln>
      </c:spPr>
    </c:plotArea>
    <c:plotVisOnly val="1"/>
    <c:dispBlanksAs val="gap"/>
    <c:showDLblsOverMax val="0"/>
  </c:chart>
  <c:spPr>
    <a:solidFill>
      <a:schemeClr val="bg1"/>
    </a:solidFill>
    <a:ln w="9502"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0.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1.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3.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5.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6.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8.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9.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1.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3.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4.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6.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7.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9.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0.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3.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4.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5.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7.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8.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0.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1.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3.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5.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6.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8.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9.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1.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4.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5.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7.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8.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9.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0.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3.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5.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6.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8.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9.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0.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1.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3.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4.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6.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7.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9.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0.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1.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4.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5.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7.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8.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29F0726229EA944A351C92A661F0C83" ma:contentTypeVersion="0" ma:contentTypeDescription="Create a new document." ma:contentTypeScope="" ma:versionID="b625dcb4e6da45aea454c11ff38d333e">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FF350C-6027-496B-BE79-2CBA36BB8BB7}">
  <ds:schemaRefs>
    <ds:schemaRef ds:uri="http://schemas.microsoft.com/sharepoint/v3/contenttype/forms"/>
  </ds:schemaRefs>
</ds:datastoreItem>
</file>

<file path=customXml/itemProps2.xml><?xml version="1.0" encoding="utf-8"?>
<ds:datastoreItem xmlns:ds="http://schemas.openxmlformats.org/officeDocument/2006/customXml" ds:itemID="{EA750E3E-D606-426B-B4EE-421BF2CB8D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82D6B955-0A19-4693-B439-4B24E1E10DCF}">
  <ds:schemaRefs>
    <ds:schemaRef ds:uri="http://schemas.openxmlformats.org/package/2006/metadata/core-properties"/>
    <ds:schemaRef ds:uri="http://purl.org/dc/elements/1.1/"/>
    <ds:schemaRef ds:uri="http://purl.org/dc/dcmitype/"/>
    <ds:schemaRef ds:uri="http://schemas.microsoft.com/office/2006/documentManagement/types"/>
    <ds:schemaRef ds:uri="http://schemas.microsoft.com/office/2006/metadata/properties"/>
    <ds:schemaRef ds:uri="http://www.w3.org/XML/1998/namespace"/>
    <ds:schemaRef ds:uri="http://schemas.microsoft.com/office/infopath/2007/PartnerControls"/>
    <ds:schemaRef ds:uri="http://purl.org/dc/terms/"/>
  </ds:schemaRefs>
</ds:datastoreItem>
</file>

<file path=customXml/itemProps4.xml><?xml version="1.0" encoding="utf-8"?>
<ds:datastoreItem xmlns:ds="http://schemas.openxmlformats.org/officeDocument/2006/customXml" ds:itemID="{F47D0BB7-C793-4171-BC16-F6C1D31B4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90</Pages>
  <Words>11801</Words>
  <Characters>62425</Characters>
  <Application>Microsoft Office Word</Application>
  <DocSecurity>0</DocSecurity>
  <Lines>1600</Lines>
  <Paragraphs>1107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73119</CharactersWithSpaces>
  <SharedDoc>false</SharedDoc>
  <HLinks>
    <vt:vector size="222" baseType="variant">
      <vt:variant>
        <vt:i4>7995420</vt:i4>
      </vt:variant>
      <vt:variant>
        <vt:i4>618</vt:i4>
      </vt:variant>
      <vt:variant>
        <vt:i4>0</vt:i4>
      </vt:variant>
      <vt:variant>
        <vt:i4>5</vt:i4>
      </vt:variant>
      <vt:variant>
        <vt:lpwstr>https://ec.europa.eu/info/law/settlement-finality-directive-98-26-ec_en</vt:lpwstr>
      </vt:variant>
      <vt:variant>
        <vt:lpwstr/>
      </vt:variant>
      <vt:variant>
        <vt:i4>3014687</vt:i4>
      </vt:variant>
      <vt:variant>
        <vt:i4>615</vt:i4>
      </vt:variant>
      <vt:variant>
        <vt:i4>0</vt:i4>
      </vt:variant>
      <vt:variant>
        <vt:i4>5</vt:i4>
      </vt:variant>
      <vt:variant>
        <vt:lpwstr>http://ec.europa.eu/finance/general-policy/banking-union/european-deposit-insurance-scheme/index_en.htm</vt:lpwstr>
      </vt:variant>
      <vt:variant>
        <vt:lpwstr/>
      </vt:variant>
      <vt:variant>
        <vt:i4>3014687</vt:i4>
      </vt:variant>
      <vt:variant>
        <vt:i4>579</vt:i4>
      </vt:variant>
      <vt:variant>
        <vt:i4>0</vt:i4>
      </vt:variant>
      <vt:variant>
        <vt:i4>5</vt:i4>
      </vt:variant>
      <vt:variant>
        <vt:lpwstr>http://ec.europa.eu/finance/general-policy/banking-union/european-deposit-insurance-scheme/index_en.htm</vt:lpwstr>
      </vt:variant>
      <vt:variant>
        <vt:lpwstr/>
      </vt:variant>
      <vt:variant>
        <vt:i4>7995420</vt:i4>
      </vt:variant>
      <vt:variant>
        <vt:i4>477</vt:i4>
      </vt:variant>
      <vt:variant>
        <vt:i4>0</vt:i4>
      </vt:variant>
      <vt:variant>
        <vt:i4>5</vt:i4>
      </vt:variant>
      <vt:variant>
        <vt:lpwstr>https://ec.europa.eu/info/law/settlement-finality-directive-98-26-ec_en</vt:lpwstr>
      </vt:variant>
      <vt:variant>
        <vt:lpwstr/>
      </vt:variant>
      <vt:variant>
        <vt:i4>6094874</vt:i4>
      </vt:variant>
      <vt:variant>
        <vt:i4>441</vt:i4>
      </vt:variant>
      <vt:variant>
        <vt:i4>0</vt:i4>
      </vt:variant>
      <vt:variant>
        <vt:i4>5</vt:i4>
      </vt:variant>
      <vt:variant>
        <vt:lpwstr>http://eur-lex.europa.eu/LexUriServ/LexUriServ.do?uri=OJ:L:2006:409:0011:0085:EN:PDF</vt:lpwstr>
      </vt:variant>
      <vt:variant>
        <vt:lpwstr/>
      </vt:variant>
      <vt:variant>
        <vt:i4>2031665</vt:i4>
      </vt:variant>
      <vt:variant>
        <vt:i4>170</vt:i4>
      </vt:variant>
      <vt:variant>
        <vt:i4>0</vt:i4>
      </vt:variant>
      <vt:variant>
        <vt:i4>5</vt:i4>
      </vt:variant>
      <vt:variant>
        <vt:lpwstr/>
      </vt:variant>
      <vt:variant>
        <vt:lpwstr>_Toc484622345</vt:lpwstr>
      </vt:variant>
      <vt:variant>
        <vt:i4>2031665</vt:i4>
      </vt:variant>
      <vt:variant>
        <vt:i4>164</vt:i4>
      </vt:variant>
      <vt:variant>
        <vt:i4>0</vt:i4>
      </vt:variant>
      <vt:variant>
        <vt:i4>5</vt:i4>
      </vt:variant>
      <vt:variant>
        <vt:lpwstr/>
      </vt:variant>
      <vt:variant>
        <vt:lpwstr>_Toc484622344</vt:lpwstr>
      </vt:variant>
      <vt:variant>
        <vt:i4>2031665</vt:i4>
      </vt:variant>
      <vt:variant>
        <vt:i4>158</vt:i4>
      </vt:variant>
      <vt:variant>
        <vt:i4>0</vt:i4>
      </vt:variant>
      <vt:variant>
        <vt:i4>5</vt:i4>
      </vt:variant>
      <vt:variant>
        <vt:lpwstr/>
      </vt:variant>
      <vt:variant>
        <vt:lpwstr>_Toc484622343</vt:lpwstr>
      </vt:variant>
      <vt:variant>
        <vt:i4>2031665</vt:i4>
      </vt:variant>
      <vt:variant>
        <vt:i4>152</vt:i4>
      </vt:variant>
      <vt:variant>
        <vt:i4>0</vt:i4>
      </vt:variant>
      <vt:variant>
        <vt:i4>5</vt:i4>
      </vt:variant>
      <vt:variant>
        <vt:lpwstr/>
      </vt:variant>
      <vt:variant>
        <vt:lpwstr>_Toc484622342</vt:lpwstr>
      </vt:variant>
      <vt:variant>
        <vt:i4>2031665</vt:i4>
      </vt:variant>
      <vt:variant>
        <vt:i4>146</vt:i4>
      </vt:variant>
      <vt:variant>
        <vt:i4>0</vt:i4>
      </vt:variant>
      <vt:variant>
        <vt:i4>5</vt:i4>
      </vt:variant>
      <vt:variant>
        <vt:lpwstr/>
      </vt:variant>
      <vt:variant>
        <vt:lpwstr>_Toc484622341</vt:lpwstr>
      </vt:variant>
      <vt:variant>
        <vt:i4>2031665</vt:i4>
      </vt:variant>
      <vt:variant>
        <vt:i4>140</vt:i4>
      </vt:variant>
      <vt:variant>
        <vt:i4>0</vt:i4>
      </vt:variant>
      <vt:variant>
        <vt:i4>5</vt:i4>
      </vt:variant>
      <vt:variant>
        <vt:lpwstr/>
      </vt:variant>
      <vt:variant>
        <vt:lpwstr>_Toc484622340</vt:lpwstr>
      </vt:variant>
      <vt:variant>
        <vt:i4>1572913</vt:i4>
      </vt:variant>
      <vt:variant>
        <vt:i4>134</vt:i4>
      </vt:variant>
      <vt:variant>
        <vt:i4>0</vt:i4>
      </vt:variant>
      <vt:variant>
        <vt:i4>5</vt:i4>
      </vt:variant>
      <vt:variant>
        <vt:lpwstr/>
      </vt:variant>
      <vt:variant>
        <vt:lpwstr>_Toc484622339</vt:lpwstr>
      </vt:variant>
      <vt:variant>
        <vt:i4>1572913</vt:i4>
      </vt:variant>
      <vt:variant>
        <vt:i4>128</vt:i4>
      </vt:variant>
      <vt:variant>
        <vt:i4>0</vt:i4>
      </vt:variant>
      <vt:variant>
        <vt:i4>5</vt:i4>
      </vt:variant>
      <vt:variant>
        <vt:lpwstr/>
      </vt:variant>
      <vt:variant>
        <vt:lpwstr>_Toc484622338</vt:lpwstr>
      </vt:variant>
      <vt:variant>
        <vt:i4>1572913</vt:i4>
      </vt:variant>
      <vt:variant>
        <vt:i4>122</vt:i4>
      </vt:variant>
      <vt:variant>
        <vt:i4>0</vt:i4>
      </vt:variant>
      <vt:variant>
        <vt:i4>5</vt:i4>
      </vt:variant>
      <vt:variant>
        <vt:lpwstr/>
      </vt:variant>
      <vt:variant>
        <vt:lpwstr>_Toc484622337</vt:lpwstr>
      </vt:variant>
      <vt:variant>
        <vt:i4>1572913</vt:i4>
      </vt:variant>
      <vt:variant>
        <vt:i4>116</vt:i4>
      </vt:variant>
      <vt:variant>
        <vt:i4>0</vt:i4>
      </vt:variant>
      <vt:variant>
        <vt:i4>5</vt:i4>
      </vt:variant>
      <vt:variant>
        <vt:lpwstr/>
      </vt:variant>
      <vt:variant>
        <vt:lpwstr>_Toc484622336</vt:lpwstr>
      </vt:variant>
      <vt:variant>
        <vt:i4>1572913</vt:i4>
      </vt:variant>
      <vt:variant>
        <vt:i4>110</vt:i4>
      </vt:variant>
      <vt:variant>
        <vt:i4>0</vt:i4>
      </vt:variant>
      <vt:variant>
        <vt:i4>5</vt:i4>
      </vt:variant>
      <vt:variant>
        <vt:lpwstr/>
      </vt:variant>
      <vt:variant>
        <vt:lpwstr>_Toc484622335</vt:lpwstr>
      </vt:variant>
      <vt:variant>
        <vt:i4>1572913</vt:i4>
      </vt:variant>
      <vt:variant>
        <vt:i4>104</vt:i4>
      </vt:variant>
      <vt:variant>
        <vt:i4>0</vt:i4>
      </vt:variant>
      <vt:variant>
        <vt:i4>5</vt:i4>
      </vt:variant>
      <vt:variant>
        <vt:lpwstr/>
      </vt:variant>
      <vt:variant>
        <vt:lpwstr>_Toc484622334</vt:lpwstr>
      </vt:variant>
      <vt:variant>
        <vt:i4>1572913</vt:i4>
      </vt:variant>
      <vt:variant>
        <vt:i4>98</vt:i4>
      </vt:variant>
      <vt:variant>
        <vt:i4>0</vt:i4>
      </vt:variant>
      <vt:variant>
        <vt:i4>5</vt:i4>
      </vt:variant>
      <vt:variant>
        <vt:lpwstr/>
      </vt:variant>
      <vt:variant>
        <vt:lpwstr>_Toc484622333</vt:lpwstr>
      </vt:variant>
      <vt:variant>
        <vt:i4>1572913</vt:i4>
      </vt:variant>
      <vt:variant>
        <vt:i4>92</vt:i4>
      </vt:variant>
      <vt:variant>
        <vt:i4>0</vt:i4>
      </vt:variant>
      <vt:variant>
        <vt:i4>5</vt:i4>
      </vt:variant>
      <vt:variant>
        <vt:lpwstr/>
      </vt:variant>
      <vt:variant>
        <vt:lpwstr>_Toc484622332</vt:lpwstr>
      </vt:variant>
      <vt:variant>
        <vt:i4>1572913</vt:i4>
      </vt:variant>
      <vt:variant>
        <vt:i4>86</vt:i4>
      </vt:variant>
      <vt:variant>
        <vt:i4>0</vt:i4>
      </vt:variant>
      <vt:variant>
        <vt:i4>5</vt:i4>
      </vt:variant>
      <vt:variant>
        <vt:lpwstr/>
      </vt:variant>
      <vt:variant>
        <vt:lpwstr>_Toc484622331</vt:lpwstr>
      </vt:variant>
      <vt:variant>
        <vt:i4>1572913</vt:i4>
      </vt:variant>
      <vt:variant>
        <vt:i4>80</vt:i4>
      </vt:variant>
      <vt:variant>
        <vt:i4>0</vt:i4>
      </vt:variant>
      <vt:variant>
        <vt:i4>5</vt:i4>
      </vt:variant>
      <vt:variant>
        <vt:lpwstr/>
      </vt:variant>
      <vt:variant>
        <vt:lpwstr>_Toc484622330</vt:lpwstr>
      </vt:variant>
      <vt:variant>
        <vt:i4>1638449</vt:i4>
      </vt:variant>
      <vt:variant>
        <vt:i4>74</vt:i4>
      </vt:variant>
      <vt:variant>
        <vt:i4>0</vt:i4>
      </vt:variant>
      <vt:variant>
        <vt:i4>5</vt:i4>
      </vt:variant>
      <vt:variant>
        <vt:lpwstr/>
      </vt:variant>
      <vt:variant>
        <vt:lpwstr>_Toc484622329</vt:lpwstr>
      </vt:variant>
      <vt:variant>
        <vt:i4>1638449</vt:i4>
      </vt:variant>
      <vt:variant>
        <vt:i4>68</vt:i4>
      </vt:variant>
      <vt:variant>
        <vt:i4>0</vt:i4>
      </vt:variant>
      <vt:variant>
        <vt:i4>5</vt:i4>
      </vt:variant>
      <vt:variant>
        <vt:lpwstr/>
      </vt:variant>
      <vt:variant>
        <vt:lpwstr>_Toc484622328</vt:lpwstr>
      </vt:variant>
      <vt:variant>
        <vt:i4>1638449</vt:i4>
      </vt:variant>
      <vt:variant>
        <vt:i4>62</vt:i4>
      </vt:variant>
      <vt:variant>
        <vt:i4>0</vt:i4>
      </vt:variant>
      <vt:variant>
        <vt:i4>5</vt:i4>
      </vt:variant>
      <vt:variant>
        <vt:lpwstr/>
      </vt:variant>
      <vt:variant>
        <vt:lpwstr>_Toc484622327</vt:lpwstr>
      </vt:variant>
      <vt:variant>
        <vt:i4>1638449</vt:i4>
      </vt:variant>
      <vt:variant>
        <vt:i4>56</vt:i4>
      </vt:variant>
      <vt:variant>
        <vt:i4>0</vt:i4>
      </vt:variant>
      <vt:variant>
        <vt:i4>5</vt:i4>
      </vt:variant>
      <vt:variant>
        <vt:lpwstr/>
      </vt:variant>
      <vt:variant>
        <vt:lpwstr>_Toc484622326</vt:lpwstr>
      </vt:variant>
      <vt:variant>
        <vt:i4>1638449</vt:i4>
      </vt:variant>
      <vt:variant>
        <vt:i4>50</vt:i4>
      </vt:variant>
      <vt:variant>
        <vt:i4>0</vt:i4>
      </vt:variant>
      <vt:variant>
        <vt:i4>5</vt:i4>
      </vt:variant>
      <vt:variant>
        <vt:lpwstr/>
      </vt:variant>
      <vt:variant>
        <vt:lpwstr>_Toc484622325</vt:lpwstr>
      </vt:variant>
      <vt:variant>
        <vt:i4>1638449</vt:i4>
      </vt:variant>
      <vt:variant>
        <vt:i4>44</vt:i4>
      </vt:variant>
      <vt:variant>
        <vt:i4>0</vt:i4>
      </vt:variant>
      <vt:variant>
        <vt:i4>5</vt:i4>
      </vt:variant>
      <vt:variant>
        <vt:lpwstr/>
      </vt:variant>
      <vt:variant>
        <vt:lpwstr>_Toc484622324</vt:lpwstr>
      </vt:variant>
      <vt:variant>
        <vt:i4>1638449</vt:i4>
      </vt:variant>
      <vt:variant>
        <vt:i4>38</vt:i4>
      </vt:variant>
      <vt:variant>
        <vt:i4>0</vt:i4>
      </vt:variant>
      <vt:variant>
        <vt:i4>5</vt:i4>
      </vt:variant>
      <vt:variant>
        <vt:lpwstr/>
      </vt:variant>
      <vt:variant>
        <vt:lpwstr>_Toc484622323</vt:lpwstr>
      </vt:variant>
      <vt:variant>
        <vt:i4>1638449</vt:i4>
      </vt:variant>
      <vt:variant>
        <vt:i4>32</vt:i4>
      </vt:variant>
      <vt:variant>
        <vt:i4>0</vt:i4>
      </vt:variant>
      <vt:variant>
        <vt:i4>5</vt:i4>
      </vt:variant>
      <vt:variant>
        <vt:lpwstr/>
      </vt:variant>
      <vt:variant>
        <vt:lpwstr>_Toc484622322</vt:lpwstr>
      </vt:variant>
      <vt:variant>
        <vt:i4>1638449</vt:i4>
      </vt:variant>
      <vt:variant>
        <vt:i4>26</vt:i4>
      </vt:variant>
      <vt:variant>
        <vt:i4>0</vt:i4>
      </vt:variant>
      <vt:variant>
        <vt:i4>5</vt:i4>
      </vt:variant>
      <vt:variant>
        <vt:lpwstr/>
      </vt:variant>
      <vt:variant>
        <vt:lpwstr>_Toc484622321</vt:lpwstr>
      </vt:variant>
      <vt:variant>
        <vt:i4>1638449</vt:i4>
      </vt:variant>
      <vt:variant>
        <vt:i4>20</vt:i4>
      </vt:variant>
      <vt:variant>
        <vt:i4>0</vt:i4>
      </vt:variant>
      <vt:variant>
        <vt:i4>5</vt:i4>
      </vt:variant>
      <vt:variant>
        <vt:lpwstr/>
      </vt:variant>
      <vt:variant>
        <vt:lpwstr>_Toc484622320</vt:lpwstr>
      </vt:variant>
      <vt:variant>
        <vt:i4>1703985</vt:i4>
      </vt:variant>
      <vt:variant>
        <vt:i4>14</vt:i4>
      </vt:variant>
      <vt:variant>
        <vt:i4>0</vt:i4>
      </vt:variant>
      <vt:variant>
        <vt:i4>5</vt:i4>
      </vt:variant>
      <vt:variant>
        <vt:lpwstr/>
      </vt:variant>
      <vt:variant>
        <vt:lpwstr>_Toc484622319</vt:lpwstr>
      </vt:variant>
      <vt:variant>
        <vt:i4>1703985</vt:i4>
      </vt:variant>
      <vt:variant>
        <vt:i4>8</vt:i4>
      </vt:variant>
      <vt:variant>
        <vt:i4>0</vt:i4>
      </vt:variant>
      <vt:variant>
        <vt:i4>5</vt:i4>
      </vt:variant>
      <vt:variant>
        <vt:lpwstr/>
      </vt:variant>
      <vt:variant>
        <vt:lpwstr>_Toc484622318</vt:lpwstr>
      </vt:variant>
      <vt:variant>
        <vt:i4>1703985</vt:i4>
      </vt:variant>
      <vt:variant>
        <vt:i4>2</vt:i4>
      </vt:variant>
      <vt:variant>
        <vt:i4>0</vt:i4>
      </vt:variant>
      <vt:variant>
        <vt:i4>5</vt:i4>
      </vt:variant>
      <vt:variant>
        <vt:lpwstr/>
      </vt:variant>
      <vt:variant>
        <vt:lpwstr>_Toc484622317</vt:lpwstr>
      </vt:variant>
      <vt:variant>
        <vt:i4>2162742</vt:i4>
      </vt:variant>
      <vt:variant>
        <vt:i4>6</vt:i4>
      </vt:variant>
      <vt:variant>
        <vt:i4>0</vt:i4>
      </vt:variant>
      <vt:variant>
        <vt:i4>5</vt:i4>
      </vt:variant>
      <vt:variant>
        <vt:lpwstr>http://europa.eu/rapid/press-release_MEMO-17-4767_EN.htm</vt:lpwstr>
      </vt:variant>
      <vt:variant>
        <vt:lpwstr/>
      </vt:variant>
      <vt:variant>
        <vt:i4>917584</vt:i4>
      </vt:variant>
      <vt:variant>
        <vt:i4>3</vt:i4>
      </vt:variant>
      <vt:variant>
        <vt:i4>0</vt:i4>
      </vt:variant>
      <vt:variant>
        <vt:i4>5</vt:i4>
      </vt:variant>
      <vt:variant>
        <vt:lpwstr>http://eur-lex.europa.eu/legal-content/AUTO/?uri=CELEX:32014L0035&amp;qid=1461336551167&amp;rid=1</vt:lpwstr>
      </vt:variant>
      <vt:variant>
        <vt:lpwstr/>
      </vt:variant>
      <vt:variant>
        <vt:i4>3014755</vt:i4>
      </vt:variant>
      <vt:variant>
        <vt:i4>0</vt:i4>
      </vt:variant>
      <vt:variant>
        <vt:i4>0</vt:i4>
      </vt:variant>
      <vt:variant>
        <vt:i4>5</vt:i4>
      </vt:variant>
      <vt:variant>
        <vt:lpwstr>http://europa.eu/rapid/press-release_MEMO-17-234_EN.htm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BARTH Carmen (SG)</cp:lastModifiedBy>
  <cp:revision>18</cp:revision>
  <cp:lastPrinted>2018-03-20T08:04:00Z</cp:lastPrinted>
  <dcterms:created xsi:type="dcterms:W3CDTF">2018-07-10T06:52:00Z</dcterms:created>
  <dcterms:modified xsi:type="dcterms:W3CDTF">2018-07-10T14:15:00Z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0x010100429F0726229EA944A351C92A661F0C83</vt:lpwstr>
  </property>
  <property fmtid="{D5CDD505-2E9C-101B-9397-08002B2CF9AE}" pid="3" name="Part">
    <vt:lpwstr>2</vt:lpwstr>
  </property>
  <property fmtid="{D5CDD505-2E9C-101B-9397-08002B2CF9AE}" pid="4" name="Total parts">
    <vt:lpwstr>2</vt:lpwstr>
  </property>
  <property fmtid="{D5CDD505-2E9C-101B-9397-08002B2CF9AE}" pid="5" name="DocStatus">
    <vt:lpwstr>Green</vt:lpwstr>
  </property>
  <property fmtid="{D5CDD505-2E9C-101B-9397-08002B2CF9AE}" pid="6" name="Level of sensitivity">
    <vt:lpwstr>Standard treatment</vt:lpwstr>
  </property>
</Properties>
</file>